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16A67">
      <w:pPr>
        <w:spacing w:line="360" w:lineRule="auto"/>
        <w:jc w:val="center"/>
        <w:rPr>
          <w:rFonts w:hint="eastAsia" w:ascii="宋体" w:hAnsi="宋体"/>
          <w:b/>
          <w:color w:val="auto"/>
          <w:sz w:val="72"/>
          <w:szCs w:val="72"/>
          <w:highlight w:val="none"/>
          <w:lang w:eastAsia="zh-CN"/>
        </w:rPr>
      </w:pPr>
    </w:p>
    <w:p w14:paraId="1C935519">
      <w:pPr>
        <w:spacing w:line="360" w:lineRule="auto"/>
        <w:jc w:val="center"/>
        <w:rPr>
          <w:rFonts w:hint="eastAsia" w:ascii="宋体" w:hAnsi="宋体"/>
          <w:b/>
          <w:bCs/>
          <w:color w:val="auto"/>
          <w:sz w:val="28"/>
          <w:highlight w:val="none"/>
        </w:rPr>
      </w:pPr>
      <w:bookmarkStart w:id="141" w:name="_GoBack"/>
      <w:r>
        <w:rPr>
          <w:rFonts w:hint="eastAsia" w:ascii="宋体" w:hAnsi="宋体"/>
          <w:b/>
          <w:color w:val="auto"/>
          <w:sz w:val="72"/>
          <w:szCs w:val="72"/>
          <w:highlight w:val="none"/>
          <w:lang w:eastAsia="zh-CN"/>
        </w:rPr>
        <w:t>佛山市养老养生健康产业园项目保安服务</w:t>
      </w:r>
      <w:bookmarkEnd w:id="141"/>
    </w:p>
    <w:p w14:paraId="566AD041">
      <w:pPr>
        <w:widowControl w:val="0"/>
        <w:spacing w:line="360" w:lineRule="auto"/>
        <w:ind w:firstLine="562" w:firstLineChars="200"/>
        <w:jc w:val="both"/>
        <w:rPr>
          <w:rFonts w:hint="eastAsia" w:ascii="宋体" w:hAnsi="宋体" w:eastAsia="宋体" w:cs="Times New Roman"/>
          <w:b/>
          <w:bCs/>
          <w:color w:val="auto"/>
          <w:kern w:val="2"/>
          <w:sz w:val="28"/>
          <w:szCs w:val="20"/>
          <w:highlight w:val="none"/>
          <w:lang w:val="en-US" w:eastAsia="zh-CN" w:bidi="ar-SA"/>
        </w:rPr>
      </w:pPr>
    </w:p>
    <w:p w14:paraId="43CE1B58">
      <w:pPr>
        <w:widowControl w:val="0"/>
        <w:spacing w:line="360" w:lineRule="auto"/>
        <w:ind w:firstLine="0" w:firstLineChars="0"/>
        <w:jc w:val="both"/>
        <w:rPr>
          <w:rFonts w:hint="eastAsia" w:ascii="宋体" w:hAnsi="宋体" w:eastAsia="宋体" w:cs="Times New Roman"/>
          <w:b/>
          <w:bCs/>
          <w:color w:val="auto"/>
          <w:kern w:val="2"/>
          <w:sz w:val="28"/>
          <w:szCs w:val="20"/>
          <w:highlight w:val="none"/>
          <w:lang w:val="en-US" w:eastAsia="zh-CN" w:bidi="ar-SA"/>
        </w:rPr>
      </w:pPr>
    </w:p>
    <w:p w14:paraId="7DEBDC39">
      <w:pPr>
        <w:widowControl w:val="0"/>
        <w:spacing w:line="360" w:lineRule="auto"/>
        <w:ind w:firstLine="562" w:firstLineChars="200"/>
        <w:jc w:val="both"/>
        <w:rPr>
          <w:rFonts w:hint="eastAsia" w:ascii="宋体" w:hAnsi="宋体" w:eastAsia="宋体" w:cs="Times New Roman"/>
          <w:b/>
          <w:bCs/>
          <w:color w:val="auto"/>
          <w:kern w:val="2"/>
          <w:sz w:val="28"/>
          <w:szCs w:val="20"/>
          <w:highlight w:val="none"/>
          <w:lang w:val="en-US" w:eastAsia="zh-CN" w:bidi="ar-SA"/>
        </w:rPr>
      </w:pPr>
    </w:p>
    <w:p w14:paraId="33CEE87A">
      <w:pPr>
        <w:jc w:val="center"/>
        <w:rPr>
          <w:rFonts w:hint="eastAsia" w:ascii="宋体" w:hAnsi="宋体"/>
          <w:b/>
          <w:color w:val="auto"/>
          <w:sz w:val="72"/>
          <w:highlight w:val="none"/>
        </w:rPr>
      </w:pPr>
      <w:r>
        <w:rPr>
          <w:rFonts w:hint="eastAsia" w:ascii="宋体" w:hAnsi="宋体"/>
          <w:b/>
          <w:color w:val="auto"/>
          <w:sz w:val="72"/>
          <w:highlight w:val="none"/>
        </w:rPr>
        <w:t>竞 争 性 磋 商 文 件</w:t>
      </w:r>
    </w:p>
    <w:p w14:paraId="40048B69">
      <w:pPr>
        <w:widowControl w:val="0"/>
        <w:spacing w:line="360" w:lineRule="auto"/>
        <w:ind w:firstLine="562" w:firstLineChars="200"/>
        <w:jc w:val="both"/>
        <w:rPr>
          <w:rFonts w:ascii="宋体" w:hAnsi="宋体" w:eastAsia="宋体" w:cs="Times New Roman"/>
          <w:b/>
          <w:bCs/>
          <w:color w:val="auto"/>
          <w:kern w:val="2"/>
          <w:sz w:val="28"/>
          <w:szCs w:val="20"/>
          <w:highlight w:val="none"/>
          <w:lang w:val="en-US" w:eastAsia="zh-CN" w:bidi="ar-SA"/>
        </w:rPr>
      </w:pPr>
    </w:p>
    <w:p w14:paraId="4421B68D">
      <w:pPr>
        <w:widowControl w:val="0"/>
        <w:spacing w:line="360" w:lineRule="auto"/>
        <w:ind w:firstLine="562" w:firstLineChars="200"/>
        <w:jc w:val="both"/>
        <w:rPr>
          <w:rFonts w:ascii="宋体" w:hAnsi="宋体" w:eastAsia="宋体" w:cs="Times New Roman"/>
          <w:b/>
          <w:bCs/>
          <w:color w:val="auto"/>
          <w:kern w:val="2"/>
          <w:sz w:val="28"/>
          <w:szCs w:val="20"/>
          <w:highlight w:val="none"/>
          <w:lang w:val="en-US" w:eastAsia="zh-CN" w:bidi="ar-SA"/>
        </w:rPr>
      </w:pPr>
    </w:p>
    <w:p w14:paraId="42115E33">
      <w:pPr>
        <w:spacing w:line="360" w:lineRule="auto"/>
        <w:rPr>
          <w:rFonts w:hint="eastAsia" w:ascii="宋体" w:hAnsi="宋体"/>
          <w:b/>
          <w:bCs/>
          <w:color w:val="auto"/>
          <w:sz w:val="28"/>
          <w:highlight w:val="none"/>
        </w:rPr>
      </w:pPr>
    </w:p>
    <w:p w14:paraId="1E99A2CA">
      <w:pPr>
        <w:spacing w:line="500" w:lineRule="exact"/>
        <w:ind w:right="-70" w:rightChars="-29" w:firstLine="1928" w:firstLineChars="600"/>
        <w:rPr>
          <w:rFonts w:hint="eastAsia" w:ascii="宋体" w:hAnsi="宋体" w:eastAsia="宋体"/>
          <w:b/>
          <w:color w:val="auto"/>
          <w:sz w:val="30"/>
          <w:szCs w:val="30"/>
          <w:highlight w:val="none"/>
          <w:lang w:eastAsia="zh-CN"/>
        </w:rPr>
      </w:pPr>
      <w:r>
        <w:rPr>
          <w:rFonts w:hint="eastAsia" w:ascii="宋体" w:hAnsi="宋体"/>
          <w:b/>
          <w:bCs/>
          <w:color w:val="auto"/>
          <w:sz w:val="32"/>
          <w:szCs w:val="32"/>
          <w:highlight w:val="none"/>
        </w:rPr>
        <w:t>采购人：</w:t>
      </w:r>
      <w:r>
        <w:rPr>
          <w:rFonts w:hint="eastAsia" w:ascii="宋体" w:hAnsi="宋体"/>
          <w:b/>
          <w:color w:val="auto"/>
          <w:sz w:val="30"/>
          <w:szCs w:val="30"/>
          <w:highlight w:val="none"/>
          <w:lang w:eastAsia="zh-CN"/>
        </w:rPr>
        <w:t>佛山市禅城区祖庙街道城建和水务办公室</w:t>
      </w:r>
    </w:p>
    <w:p w14:paraId="335EADAB">
      <w:pPr>
        <w:spacing w:line="500" w:lineRule="exact"/>
        <w:ind w:right="-70" w:rightChars="-29" w:firstLine="1285" w:firstLineChars="400"/>
        <w:rPr>
          <w:rFonts w:hint="eastAsia" w:ascii="宋体" w:hAnsi="宋体"/>
          <w:b/>
          <w:bCs/>
          <w:color w:val="auto"/>
          <w:sz w:val="32"/>
          <w:szCs w:val="32"/>
          <w:highlight w:val="none"/>
        </w:rPr>
      </w:pPr>
    </w:p>
    <w:p w14:paraId="230B35F9">
      <w:pPr>
        <w:spacing w:line="500" w:lineRule="exact"/>
        <w:ind w:right="-70" w:rightChars="-29" w:firstLine="1928" w:firstLineChars="600"/>
        <w:rPr>
          <w:rFonts w:hint="eastAsia" w:ascii="宋体" w:hAnsi="宋体"/>
          <w:b/>
          <w:bCs/>
          <w:color w:val="auto"/>
          <w:highlight w:val="none"/>
        </w:rPr>
      </w:pPr>
      <w:r>
        <w:rPr>
          <w:rFonts w:hint="eastAsia" w:ascii="宋体" w:hAnsi="宋体"/>
          <w:b/>
          <w:bCs/>
          <w:color w:val="auto"/>
          <w:sz w:val="32"/>
          <w:szCs w:val="32"/>
          <w:highlight w:val="none"/>
        </w:rPr>
        <w:t>采购项目编号：HRC24FSCS0501</w:t>
      </w:r>
      <w:r>
        <w:rPr>
          <w:rFonts w:ascii="宋体" w:hAnsi="宋体"/>
          <w:b/>
          <w:bCs/>
          <w:color w:val="auto"/>
          <w:highlight w:val="none"/>
        </w:rPr>
        <w:fldChar w:fldCharType="begin"/>
      </w:r>
      <w:r>
        <w:rPr>
          <w:rFonts w:ascii="宋体" w:hAnsi="宋体"/>
          <w:b/>
          <w:bCs/>
          <w:color w:val="auto"/>
          <w:highlight w:val="none"/>
        </w:rPr>
        <w:instrText xml:space="preserve"> </w:instrText>
      </w:r>
      <w:r>
        <w:rPr>
          <w:rFonts w:hint="eastAsia" w:ascii="宋体" w:hAnsi="宋体"/>
          <w:b/>
          <w:bCs/>
          <w:color w:val="auto"/>
          <w:highlight w:val="none"/>
        </w:rPr>
        <w:instrText xml:space="preserve">DOCVARIABLE  采购编号  \* MERGEFORMAT</w:instrText>
      </w:r>
      <w:r>
        <w:rPr>
          <w:rFonts w:ascii="宋体" w:hAnsi="宋体"/>
          <w:b/>
          <w:bCs/>
          <w:color w:val="auto"/>
          <w:highlight w:val="none"/>
        </w:rPr>
        <w:instrText xml:space="preserve"> </w:instrText>
      </w:r>
      <w:r>
        <w:rPr>
          <w:rFonts w:ascii="宋体" w:hAnsi="宋体"/>
          <w:b/>
          <w:bCs/>
          <w:color w:val="auto"/>
          <w:highlight w:val="none"/>
        </w:rPr>
        <w:fldChar w:fldCharType="separate"/>
      </w:r>
      <w:r>
        <w:rPr>
          <w:rFonts w:ascii="宋体" w:hAnsi="宋体"/>
          <w:b/>
          <w:bCs/>
          <w:color w:val="auto"/>
          <w:highlight w:val="none"/>
        </w:rPr>
        <w:fldChar w:fldCharType="end"/>
      </w:r>
    </w:p>
    <w:p w14:paraId="399EAB02">
      <w:pPr>
        <w:spacing w:line="360" w:lineRule="auto"/>
        <w:rPr>
          <w:rFonts w:hint="eastAsia" w:ascii="宋体" w:hAnsi="宋体"/>
          <w:b/>
          <w:bCs/>
          <w:color w:val="auto"/>
          <w:sz w:val="28"/>
          <w:highlight w:val="none"/>
        </w:rPr>
      </w:pPr>
    </w:p>
    <w:p w14:paraId="6819F04B">
      <w:pPr>
        <w:widowControl w:val="0"/>
        <w:spacing w:line="360" w:lineRule="auto"/>
        <w:ind w:firstLine="480" w:firstLineChars="200"/>
        <w:jc w:val="both"/>
        <w:rPr>
          <w:rFonts w:hint="eastAsia" w:ascii="Times New Roman" w:hAnsi="Times New Roman" w:eastAsia="宋体" w:cs="Times New Roman"/>
          <w:color w:val="auto"/>
          <w:kern w:val="2"/>
          <w:sz w:val="24"/>
          <w:szCs w:val="20"/>
          <w:highlight w:val="none"/>
          <w:lang w:val="en-US" w:eastAsia="zh-CN" w:bidi="ar-SA"/>
        </w:rPr>
      </w:pPr>
    </w:p>
    <w:p w14:paraId="529BB321">
      <w:pPr>
        <w:spacing w:line="360" w:lineRule="auto"/>
        <w:rPr>
          <w:rFonts w:hint="eastAsia" w:ascii="宋体" w:hAnsi="宋体"/>
          <w:b/>
          <w:bCs/>
          <w:color w:val="auto"/>
          <w:sz w:val="28"/>
          <w:highlight w:val="none"/>
        </w:rPr>
      </w:pPr>
    </w:p>
    <w:p w14:paraId="43A3A6F3">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华睿诚</w:t>
      </w:r>
      <w:r>
        <w:rPr>
          <w:rFonts w:hint="eastAsia" w:ascii="宋体" w:hAnsi="宋体"/>
          <w:b/>
          <w:bCs/>
          <w:color w:val="auto"/>
          <w:sz w:val="28"/>
          <w:szCs w:val="28"/>
          <w:highlight w:val="none"/>
          <w:lang w:eastAsia="zh-CN"/>
        </w:rPr>
        <w:t>项目管理有限公司</w:t>
      </w:r>
      <w:r>
        <w:rPr>
          <w:rFonts w:hint="eastAsia" w:ascii="宋体" w:hAnsi="宋体"/>
          <w:b/>
          <w:bCs/>
          <w:color w:val="auto"/>
          <w:sz w:val="28"/>
          <w:szCs w:val="28"/>
          <w:highlight w:val="none"/>
        </w:rPr>
        <w:t xml:space="preserve"> 编制</w:t>
      </w:r>
    </w:p>
    <w:p w14:paraId="7439C214">
      <w:pPr>
        <w:jc w:val="center"/>
        <w:rPr>
          <w:rFonts w:hint="eastAsia" w:ascii="宋体" w:hAnsi="宋体"/>
          <w:b/>
          <w:color w:val="auto"/>
          <w:highlight w:val="none"/>
        </w:rPr>
      </w:pPr>
      <w:r>
        <w:rPr>
          <w:rFonts w:hint="eastAsia" w:ascii="宋体" w:hAnsi="宋体"/>
          <w:b/>
          <w:bCs/>
          <w:color w:val="auto"/>
          <w:sz w:val="28"/>
          <w:szCs w:val="28"/>
          <w:highlight w:val="none"/>
        </w:rPr>
        <w:t>202</w:t>
      </w:r>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月</w:t>
      </w:r>
    </w:p>
    <w:p w14:paraId="7706BAC7">
      <w:pPr>
        <w:jc w:val="center"/>
        <w:rPr>
          <w:rFonts w:hint="eastAsia" w:ascii="宋体" w:hAnsi="宋体"/>
          <w:b/>
          <w:color w:val="auto"/>
          <w:highlight w:val="none"/>
        </w:rPr>
        <w:sectPr>
          <w:headerReference r:id="rId4" w:type="first"/>
          <w:footerReference r:id="rId5" w:type="default"/>
          <w:headerReference r:id="rId3" w:type="even"/>
          <w:footerReference r:id="rId6" w:type="even"/>
          <w:pgSz w:w="11906" w:h="16838"/>
          <w:pgMar w:top="1247" w:right="1304" w:bottom="1247" w:left="1304" w:header="777" w:footer="714" w:gutter="0"/>
          <w:pgNumType w:start="0"/>
          <w:cols w:space="720" w:num="1"/>
          <w:titlePg/>
          <w:docGrid w:type="lines" w:linePitch="312" w:charSpace="0"/>
        </w:sectPr>
      </w:pPr>
    </w:p>
    <w:p w14:paraId="3CA6F8EF">
      <w:pPr>
        <w:rPr>
          <w:rFonts w:hint="eastAsia" w:ascii="宋体" w:hAnsi="宋体"/>
          <w:b/>
          <w:color w:val="auto"/>
          <w:highlight w:val="none"/>
        </w:rPr>
      </w:pPr>
    </w:p>
    <w:p w14:paraId="17D84CE5">
      <w:pPr>
        <w:jc w:val="center"/>
        <w:rPr>
          <w:rFonts w:hint="eastAsia" w:ascii="宋体" w:hAnsi="宋体"/>
          <w:b/>
          <w:color w:val="auto"/>
          <w:sz w:val="28"/>
          <w:highlight w:val="none"/>
        </w:rPr>
      </w:pPr>
      <w:bookmarkStart w:id="0" w:name="_Toc436739726"/>
      <w:r>
        <w:rPr>
          <w:rFonts w:hint="eastAsia" w:ascii="宋体" w:hAnsi="宋体"/>
          <w:b/>
          <w:color w:val="auto"/>
          <w:sz w:val="28"/>
          <w:highlight w:val="none"/>
        </w:rPr>
        <w:t>温馨提示</w:t>
      </w:r>
      <w:bookmarkEnd w:id="0"/>
    </w:p>
    <w:p w14:paraId="466A0B55">
      <w:pPr>
        <w:tabs>
          <w:tab w:val="left" w:pos="851"/>
        </w:tabs>
        <w:spacing w:line="312" w:lineRule="auto"/>
        <w:ind w:left="630" w:hanging="630" w:hangingChars="300"/>
        <w:jc w:val="left"/>
        <w:rPr>
          <w:rFonts w:hint="eastAsia" w:ascii="宋体" w:hAnsi="宋体"/>
          <w:color w:val="auto"/>
          <w:sz w:val="21"/>
          <w:szCs w:val="21"/>
          <w:highlight w:val="none"/>
        </w:rPr>
      </w:pPr>
      <w:r>
        <w:rPr>
          <w:rFonts w:hint="eastAsia" w:ascii="宋体" w:hAnsi="宋体"/>
          <w:color w:val="auto"/>
          <w:sz w:val="21"/>
          <w:szCs w:val="21"/>
          <w:highlight w:val="none"/>
        </w:rPr>
        <w:t>一、  如无另行说明，响应文件文件递交时间为</w:t>
      </w:r>
      <w:r>
        <w:rPr>
          <w:rFonts w:hint="eastAsia" w:ascii="宋体" w:hAnsi="宋体"/>
          <w:b/>
          <w:color w:val="auto"/>
          <w:sz w:val="21"/>
          <w:szCs w:val="21"/>
          <w:highlight w:val="none"/>
          <w:u w:val="single"/>
        </w:rPr>
        <w:t>递交截止时间（提交响应文件截止时间）之前30分钟</w:t>
      </w:r>
      <w:r>
        <w:rPr>
          <w:rFonts w:hint="eastAsia" w:ascii="宋体" w:hAnsi="宋体"/>
          <w:color w:val="auto"/>
          <w:sz w:val="21"/>
          <w:szCs w:val="21"/>
          <w:highlight w:val="none"/>
        </w:rPr>
        <w:t>内。</w:t>
      </w:r>
    </w:p>
    <w:p w14:paraId="2B327518">
      <w:pPr>
        <w:tabs>
          <w:tab w:val="left" w:pos="851"/>
        </w:tabs>
        <w:spacing w:line="312" w:lineRule="auto"/>
        <w:ind w:left="630" w:hanging="630" w:hangingChars="300"/>
        <w:jc w:val="left"/>
        <w:rPr>
          <w:rFonts w:hint="eastAsia" w:ascii="宋体" w:hAnsi="宋体"/>
          <w:color w:val="auto"/>
          <w:sz w:val="21"/>
          <w:szCs w:val="21"/>
          <w:highlight w:val="none"/>
        </w:rPr>
      </w:pPr>
      <w:r>
        <w:rPr>
          <w:rFonts w:hint="eastAsia" w:ascii="宋体" w:hAnsi="宋体"/>
          <w:color w:val="auto"/>
          <w:sz w:val="21"/>
          <w:szCs w:val="21"/>
          <w:highlight w:val="none"/>
        </w:rPr>
        <w:t>二、  为避免因迟到而失去投标资格，请</w:t>
      </w:r>
      <w:r>
        <w:rPr>
          <w:rFonts w:hint="eastAsia" w:ascii="宋体" w:hAnsi="宋体"/>
          <w:b/>
          <w:color w:val="auto"/>
          <w:sz w:val="21"/>
          <w:szCs w:val="21"/>
          <w:highlight w:val="none"/>
          <w:u w:val="single"/>
        </w:rPr>
        <w:t>适当提前到达</w:t>
      </w:r>
      <w:r>
        <w:rPr>
          <w:rFonts w:hint="eastAsia" w:ascii="宋体" w:hAnsi="宋体"/>
          <w:color w:val="auto"/>
          <w:sz w:val="21"/>
          <w:szCs w:val="21"/>
          <w:highlight w:val="none"/>
        </w:rPr>
        <w:t xml:space="preserve">。 </w:t>
      </w:r>
    </w:p>
    <w:p w14:paraId="48339D20">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三、  磋商保证金必须于磋商文件规定时间前到达</w:t>
      </w:r>
      <w:r>
        <w:rPr>
          <w:rFonts w:hint="eastAsia" w:ascii="宋体" w:hAnsi="宋体"/>
          <w:b/>
          <w:color w:val="auto"/>
          <w:sz w:val="21"/>
          <w:szCs w:val="21"/>
          <w:highlight w:val="none"/>
          <w:u w:val="single"/>
        </w:rPr>
        <w:t>收款方指定账户</w:t>
      </w:r>
      <w:r>
        <w:rPr>
          <w:rFonts w:hint="eastAsia" w:ascii="宋体" w:hAnsi="宋体"/>
          <w:color w:val="auto"/>
          <w:sz w:val="21"/>
          <w:szCs w:val="21"/>
          <w:highlight w:val="none"/>
        </w:rPr>
        <w:t>（开户行及账号见《供应商须知前附表》）。由于转账当天不一定能够到账，为避免因磋商保证金未到账而导致投标被拒绝，建议</w:t>
      </w:r>
      <w:r>
        <w:rPr>
          <w:rFonts w:hint="eastAsia" w:ascii="宋体" w:hAnsi="宋体"/>
          <w:b/>
          <w:color w:val="auto"/>
          <w:sz w:val="21"/>
          <w:szCs w:val="21"/>
          <w:highlight w:val="none"/>
          <w:u w:val="single"/>
        </w:rPr>
        <w:t>提前办理</w:t>
      </w:r>
      <w:r>
        <w:rPr>
          <w:rFonts w:hint="eastAsia" w:ascii="宋体" w:hAnsi="宋体"/>
          <w:color w:val="auto"/>
          <w:sz w:val="21"/>
          <w:szCs w:val="21"/>
          <w:highlight w:val="none"/>
        </w:rPr>
        <w:t>。</w:t>
      </w:r>
    </w:p>
    <w:p w14:paraId="05AA20B4">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四、响应文件应按顺序编制页码。</w:t>
      </w:r>
    </w:p>
    <w:p w14:paraId="4F62F16F">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五、请仔细检查响应文件是否已按磋商文件要求</w:t>
      </w:r>
      <w:r>
        <w:rPr>
          <w:rFonts w:hint="eastAsia" w:ascii="宋体" w:hAnsi="宋体"/>
          <w:b/>
          <w:bCs/>
          <w:color w:val="auto"/>
          <w:sz w:val="21"/>
          <w:szCs w:val="21"/>
          <w:highlight w:val="none"/>
          <w:u w:val="single"/>
        </w:rPr>
        <w:t>盖章、签名、签署日期</w:t>
      </w:r>
      <w:r>
        <w:rPr>
          <w:rFonts w:hint="eastAsia" w:ascii="宋体" w:hAnsi="宋体"/>
          <w:color w:val="auto"/>
          <w:sz w:val="21"/>
          <w:szCs w:val="21"/>
          <w:highlight w:val="none"/>
        </w:rPr>
        <w:t>。</w:t>
      </w:r>
    </w:p>
    <w:p w14:paraId="533FDE8C">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六、请正确填写《报价一览表》。</w:t>
      </w:r>
    </w:p>
    <w:p w14:paraId="7EDE23C6">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七、多子包/标段项目请仔细检查子包号，子包/标段号与子包/标段名称必须对应。</w:t>
      </w:r>
    </w:p>
    <w:p w14:paraId="0E4807D6">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八、如投标（报价）产品属于许可证管理范围内的，须提交相应的许可证复印件。</w:t>
      </w:r>
    </w:p>
    <w:p w14:paraId="5F8800D8">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九、以联合体形式磋商/响应的，请提交《联合体共同投标协议书》。</w:t>
      </w:r>
    </w:p>
    <w:p w14:paraId="100FA9B5">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十、投标供应商为中型、小型、微型企业的，请提交《中小企业声明函》。</w:t>
      </w:r>
    </w:p>
    <w:p w14:paraId="70AA5F62">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一、为了提高采购效率，节约社会交易成本与时间，本代理机构希望购买了磋商文件而决定不参加本次投标的供应商，在响应文件递交截止时间的3日前，按《磋商邀请函》中的联系方式，以书面形式告知采购代理机构。对您的支持与配合，谨此致谢。</w:t>
      </w:r>
    </w:p>
    <w:p w14:paraId="0C0CD5D9">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十二、投标供应商如需对项目提出询问或质疑，应按在法定时间内以传真或扫描件方式告知代理机构。</w:t>
      </w:r>
    </w:p>
    <w:p w14:paraId="12586C81">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十三、因场地有限，本代理机构无法提供停车位，不便之处敬请谅解。如有需要，请到周边的停车场停车。</w:t>
      </w:r>
    </w:p>
    <w:p w14:paraId="01FD2E69">
      <w:pPr>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十四、由于递交响应文件地点所处位置路段繁忙及停车紧张，递交响应文件时务请提早到达！</w:t>
      </w:r>
    </w:p>
    <w:p w14:paraId="5D284645">
      <w:pPr>
        <w:spacing w:line="312" w:lineRule="auto"/>
        <w:jc w:val="center"/>
        <w:rPr>
          <w:rFonts w:hint="eastAsia" w:ascii="宋体" w:hAnsi="宋体"/>
          <w:color w:val="auto"/>
          <w:sz w:val="21"/>
          <w:szCs w:val="21"/>
          <w:highlight w:val="none"/>
        </w:rPr>
      </w:pPr>
      <w:r>
        <w:rPr>
          <w:rFonts w:hint="eastAsia" w:ascii="宋体" w:hAnsi="宋体"/>
          <w:color w:val="auto"/>
          <w:sz w:val="21"/>
          <w:szCs w:val="21"/>
          <w:highlight w:val="none"/>
        </w:rPr>
        <w:t>（本提示内容非磋商文件的组成部分，仅为善意提醒。如有不一致，以磋商文件为准）</w:t>
      </w:r>
    </w:p>
    <w:p w14:paraId="44201817">
      <w:pPr>
        <w:rPr>
          <w:rFonts w:ascii="宋体" w:hAnsi="宋体"/>
          <w:b/>
          <w:color w:val="auto"/>
          <w:highlight w:val="none"/>
        </w:rPr>
        <w:sectPr>
          <w:footerReference r:id="rId7" w:type="default"/>
          <w:pgSz w:w="11906" w:h="16838"/>
          <w:pgMar w:top="1440" w:right="1286" w:bottom="1440" w:left="1440" w:header="851" w:footer="992" w:gutter="0"/>
          <w:cols w:space="720" w:num="1"/>
          <w:docGrid w:type="lines" w:linePitch="312" w:charSpace="0"/>
        </w:sectPr>
      </w:pPr>
    </w:p>
    <w:p w14:paraId="73094595">
      <w:pPr>
        <w:widowControl w:val="0"/>
        <w:spacing w:line="360" w:lineRule="auto"/>
        <w:ind w:firstLine="480" w:firstLineChars="200"/>
        <w:jc w:val="both"/>
        <w:rPr>
          <w:rFonts w:ascii="Times New Roman" w:hAnsi="Times New Roman" w:eastAsia="宋体" w:cs="Times New Roman"/>
          <w:color w:val="auto"/>
          <w:kern w:val="2"/>
          <w:sz w:val="24"/>
          <w:szCs w:val="20"/>
          <w:highlight w:val="none"/>
          <w:lang w:val="en-US" w:eastAsia="zh-CN" w:bidi="ar-SA"/>
        </w:rPr>
      </w:pPr>
    </w:p>
    <w:p w14:paraId="6A0CD866">
      <w:pPr>
        <w:jc w:val="center"/>
        <w:rPr>
          <w:b/>
          <w:bCs/>
          <w:color w:val="auto"/>
          <w:sz w:val="56"/>
          <w:szCs w:val="52"/>
          <w:highlight w:val="none"/>
        </w:rPr>
      </w:pPr>
      <w:r>
        <w:rPr>
          <w:rFonts w:ascii="宋体" w:hAnsi="宋体"/>
          <w:b/>
          <w:bCs/>
          <w:color w:val="auto"/>
          <w:sz w:val="48"/>
          <w:szCs w:val="52"/>
          <w:highlight w:val="none"/>
        </w:rPr>
        <w:t>目录</w:t>
      </w:r>
    </w:p>
    <w:p w14:paraId="6F176A9D">
      <w:pPr>
        <w:tabs>
          <w:tab w:val="right" w:leader="dot" w:pos="9180"/>
        </w:tabs>
        <w:ind w:leftChars="0"/>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0"/>
          <w:szCs w:val="20"/>
          <w:highlight w:val="none"/>
        </w:rPr>
        <w:fldChar w:fldCharType="begin"/>
      </w:r>
      <w:r>
        <w:rPr>
          <w:rFonts w:ascii="Times New Roman" w:hAnsi="Times New Roman" w:eastAsia="宋体" w:cs="Times New Roman"/>
          <w:color w:val="auto"/>
          <w:sz w:val="20"/>
          <w:szCs w:val="20"/>
          <w:highlight w:val="none"/>
        </w:rPr>
        <w:instrText xml:space="preserve">TOC \o "1-1" \h \u </w:instrText>
      </w:r>
      <w:r>
        <w:rPr>
          <w:rFonts w:ascii="Times New Roman" w:hAnsi="Times New Roman" w:eastAsia="宋体" w:cs="Times New Roman"/>
          <w:color w:val="auto"/>
          <w:sz w:val="20"/>
          <w:szCs w:val="20"/>
          <w:highlight w:val="none"/>
        </w:rPr>
        <w:fldChar w:fldCharType="separate"/>
      </w: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_Toc7305 </w:instrText>
      </w:r>
      <w:r>
        <w:rPr>
          <w:rFonts w:ascii="Times New Roman" w:hAnsi="Times New Roman" w:eastAsia="宋体" w:cs="Times New Roman"/>
          <w:color w:val="auto"/>
          <w:sz w:val="28"/>
          <w:szCs w:val="28"/>
          <w:highlight w:val="none"/>
        </w:rPr>
        <w:fldChar w:fldCharType="separate"/>
      </w:r>
      <w:r>
        <w:rPr>
          <w:rFonts w:hint="eastAsia" w:ascii="宋体" w:hAnsi="宋体" w:eastAsia="宋体" w:cs="宋体"/>
          <w:color w:val="auto"/>
          <w:sz w:val="28"/>
          <w:szCs w:val="28"/>
          <w:highlight w:val="none"/>
        </w:rPr>
        <w:t>第一部分  磋商邀请函</w:t>
      </w:r>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PAGEREF _Toc7305 </w:instrText>
      </w:r>
      <w:r>
        <w:rPr>
          <w:rFonts w:ascii="Times New Roman" w:hAnsi="Times New Roman" w:eastAsia="宋体" w:cs="Times New Roman"/>
          <w:color w:val="auto"/>
          <w:sz w:val="28"/>
          <w:szCs w:val="28"/>
          <w:highlight w:val="none"/>
        </w:rPr>
        <w:fldChar w:fldCharType="separate"/>
      </w:r>
      <w:r>
        <w:rPr>
          <w:rFonts w:ascii="Times New Roman" w:hAnsi="Times New Roman" w:eastAsia="宋体" w:cs="Times New Roman"/>
          <w:color w:val="auto"/>
          <w:sz w:val="28"/>
          <w:szCs w:val="28"/>
          <w:highlight w:val="none"/>
        </w:rPr>
        <w:t>2</w:t>
      </w:r>
      <w:r>
        <w:rPr>
          <w:rFonts w:ascii="Times New Roman" w:hAnsi="Times New Roman" w:eastAsia="宋体" w:cs="Times New Roman"/>
          <w:color w:val="auto"/>
          <w:sz w:val="28"/>
          <w:szCs w:val="28"/>
          <w:highlight w:val="none"/>
        </w:rPr>
        <w:fldChar w:fldCharType="end"/>
      </w:r>
      <w:r>
        <w:rPr>
          <w:rFonts w:ascii="Times New Roman" w:hAnsi="Times New Roman" w:eastAsia="宋体" w:cs="Times New Roman"/>
          <w:color w:val="auto"/>
          <w:sz w:val="28"/>
          <w:szCs w:val="28"/>
          <w:highlight w:val="none"/>
        </w:rPr>
        <w:fldChar w:fldCharType="end"/>
      </w:r>
    </w:p>
    <w:p w14:paraId="7AB07864">
      <w:pPr>
        <w:tabs>
          <w:tab w:val="right" w:leader="dot" w:pos="9180"/>
        </w:tabs>
        <w:ind w:leftChars="0"/>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_Toc32547 </w:instrText>
      </w:r>
      <w:r>
        <w:rPr>
          <w:rFonts w:ascii="Times New Roman" w:hAnsi="Times New Roman" w:eastAsia="宋体" w:cs="Times New Roman"/>
          <w:color w:val="auto"/>
          <w:sz w:val="28"/>
          <w:szCs w:val="28"/>
          <w:highlight w:val="none"/>
        </w:rPr>
        <w:fldChar w:fldCharType="separate"/>
      </w:r>
      <w:r>
        <w:rPr>
          <w:rFonts w:hint="eastAsia" w:ascii="宋体" w:hAnsi="宋体" w:eastAsia="宋体" w:cs="Times New Roman"/>
          <w:color w:val="auto"/>
          <w:sz w:val="28"/>
          <w:szCs w:val="28"/>
          <w:highlight w:val="none"/>
        </w:rPr>
        <w:t>第二部分  采购项目内容</w:t>
      </w:r>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7</w:t>
      </w:r>
      <w:r>
        <w:rPr>
          <w:rFonts w:ascii="Times New Roman" w:hAnsi="Times New Roman" w:eastAsia="宋体" w:cs="Times New Roman"/>
          <w:color w:val="auto"/>
          <w:sz w:val="28"/>
          <w:szCs w:val="28"/>
          <w:highlight w:val="none"/>
        </w:rPr>
        <w:fldChar w:fldCharType="end"/>
      </w:r>
    </w:p>
    <w:p w14:paraId="3F0D4F30">
      <w:pPr>
        <w:tabs>
          <w:tab w:val="right" w:leader="dot" w:pos="9180"/>
        </w:tabs>
        <w:ind w:leftChars="0"/>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_Toc8245 </w:instrText>
      </w:r>
      <w:r>
        <w:rPr>
          <w:rFonts w:ascii="Times New Roman" w:hAnsi="Times New Roman" w:eastAsia="宋体" w:cs="Times New Roman"/>
          <w:color w:val="auto"/>
          <w:sz w:val="28"/>
          <w:szCs w:val="28"/>
          <w:highlight w:val="none"/>
        </w:rPr>
        <w:fldChar w:fldCharType="separate"/>
      </w:r>
      <w:r>
        <w:rPr>
          <w:rFonts w:hint="eastAsia" w:ascii="宋体" w:hAnsi="宋体" w:eastAsia="宋体" w:cs="Times New Roman"/>
          <w:color w:val="auto"/>
          <w:sz w:val="28"/>
          <w:szCs w:val="28"/>
          <w:highlight w:val="none"/>
        </w:rPr>
        <w:t>第三部分  供应商须知</w:t>
      </w:r>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1</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7</w:t>
      </w:r>
    </w:p>
    <w:p w14:paraId="3833F7B9">
      <w:pPr>
        <w:tabs>
          <w:tab w:val="right" w:leader="dot" w:pos="9180"/>
        </w:tabs>
        <w:ind w:leftChars="0"/>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_Toc13390 </w:instrText>
      </w:r>
      <w:r>
        <w:rPr>
          <w:rFonts w:ascii="Times New Roman" w:hAnsi="Times New Roman" w:eastAsia="宋体" w:cs="Times New Roman"/>
          <w:color w:val="auto"/>
          <w:sz w:val="28"/>
          <w:szCs w:val="28"/>
          <w:highlight w:val="none"/>
        </w:rPr>
        <w:fldChar w:fldCharType="separate"/>
      </w:r>
      <w:r>
        <w:rPr>
          <w:rFonts w:hint="eastAsia" w:ascii="宋体" w:hAnsi="宋体" w:eastAsia="宋体" w:cs="Times New Roman"/>
          <w:color w:val="auto"/>
          <w:sz w:val="28"/>
          <w:szCs w:val="28"/>
          <w:highlight w:val="none"/>
        </w:rPr>
        <w:t>第四部分</w:t>
      </w:r>
      <w:r>
        <w:rPr>
          <w:rFonts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rPr>
        <w:t>合同书范本</w:t>
      </w:r>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4</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9</w:t>
      </w:r>
    </w:p>
    <w:p w14:paraId="0F794026">
      <w:pPr>
        <w:tabs>
          <w:tab w:val="right" w:leader="dot" w:pos="9180"/>
        </w:tabs>
        <w:ind w:leftChars="0"/>
        <w:rPr>
          <w:rFonts w:hint="eastAsia" w:ascii="Times New Roman" w:hAnsi="Times New Roman" w:eastAsia="宋体" w:cs="Times New Roman"/>
          <w:color w:val="auto"/>
          <w:sz w:val="20"/>
          <w:szCs w:val="20"/>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_Toc16096 </w:instrText>
      </w:r>
      <w:r>
        <w:rPr>
          <w:rFonts w:ascii="Times New Roman" w:hAnsi="Times New Roman" w:eastAsia="宋体" w:cs="Times New Roman"/>
          <w:color w:val="auto"/>
          <w:sz w:val="28"/>
          <w:szCs w:val="28"/>
          <w:highlight w:val="none"/>
        </w:rPr>
        <w:fldChar w:fldCharType="separate"/>
      </w:r>
      <w:r>
        <w:rPr>
          <w:rFonts w:hint="eastAsia" w:ascii="宋体" w:hAnsi="宋体" w:eastAsia="宋体" w:cs="Times New Roman"/>
          <w:color w:val="auto"/>
          <w:sz w:val="28"/>
          <w:szCs w:val="28"/>
          <w:highlight w:val="none"/>
        </w:rPr>
        <w:t>第五部分</w:t>
      </w:r>
      <w:r>
        <w:rPr>
          <w:rFonts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rPr>
        <w:t>响应文件格式</w:t>
      </w:r>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6</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0</w:t>
      </w:r>
    </w:p>
    <w:p w14:paraId="30479945">
      <w:pPr>
        <w:tabs>
          <w:tab w:val="right" w:leader="dot" w:pos="9180"/>
        </w:tabs>
        <w:ind w:leftChars="0"/>
        <w:rPr>
          <w:rFonts w:ascii="Times New Roman" w:hAnsi="Times New Roman" w:eastAsia="宋体" w:cs="Times New Roman"/>
          <w:color w:val="auto"/>
          <w:sz w:val="20"/>
          <w:szCs w:val="20"/>
          <w:highlight w:val="none"/>
        </w:rPr>
      </w:pPr>
    </w:p>
    <w:p w14:paraId="374CB4B5">
      <w:pPr>
        <w:rPr>
          <w:color w:val="auto"/>
          <w:highlight w:val="none"/>
        </w:rPr>
      </w:pPr>
      <w:r>
        <w:rPr>
          <w:color w:val="auto"/>
          <w:highlight w:val="none"/>
        </w:rPr>
        <w:fldChar w:fldCharType="end"/>
      </w:r>
    </w:p>
    <w:p w14:paraId="678FC8B5">
      <w:pPr>
        <w:rPr>
          <w:rFonts w:ascii="宋体" w:hAnsi="宋体"/>
          <w:color w:val="auto"/>
          <w:highlight w:val="none"/>
        </w:rPr>
      </w:pPr>
      <w:r>
        <w:rPr>
          <w:rFonts w:ascii="宋体" w:hAnsi="宋体"/>
          <w:color w:val="auto"/>
          <w:highlight w:val="none"/>
        </w:rPr>
        <w:br w:type="page"/>
      </w:r>
    </w:p>
    <w:p w14:paraId="7419907F">
      <w:pPr>
        <w:keepNext/>
        <w:keepLines/>
        <w:widowControl w:val="0"/>
        <w:jc w:val="center"/>
        <w:outlineLvl w:val="0"/>
        <w:rPr>
          <w:rFonts w:hint="eastAsia" w:ascii="宋体" w:hAnsi="宋体" w:eastAsia="宋体" w:cs="宋体"/>
          <w:b/>
          <w:bCs/>
          <w:color w:val="auto"/>
          <w:kern w:val="44"/>
          <w:sz w:val="32"/>
          <w:szCs w:val="44"/>
          <w:highlight w:val="none"/>
          <w:lang w:val="en-US" w:eastAsia="zh-CN" w:bidi="ar-SA"/>
        </w:rPr>
      </w:pPr>
      <w:bookmarkStart w:id="1" w:name="_Toc7305"/>
      <w:bookmarkStart w:id="2" w:name="_Toc13537"/>
      <w:r>
        <w:rPr>
          <w:rFonts w:hint="eastAsia" w:ascii="宋体" w:hAnsi="宋体" w:eastAsia="宋体" w:cs="宋体"/>
          <w:b/>
          <w:bCs/>
          <w:color w:val="auto"/>
          <w:kern w:val="44"/>
          <w:sz w:val="32"/>
          <w:szCs w:val="44"/>
          <w:highlight w:val="none"/>
          <w:lang w:val="en-US" w:eastAsia="zh-CN" w:bidi="ar-SA"/>
        </w:rPr>
        <w:t>第一部分  磋商邀请函</w:t>
      </w:r>
      <w:bookmarkEnd w:id="1"/>
      <w:bookmarkEnd w:id="2"/>
    </w:p>
    <w:p w14:paraId="25BEBAEF">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华睿诚项目管理有限公司受佛山市禅城区祖庙街道城建和水务办公室委托，采用竞争性磋商方式组织采购佛山市养老养生健康产业园项目保安服务，欢迎符合资格条件的供应商参加。</w:t>
      </w:r>
    </w:p>
    <w:p w14:paraId="7B73A979">
      <w:pPr>
        <w:keepNext w:val="0"/>
        <w:keepLines w:val="0"/>
        <w:widowControl/>
        <w:numPr>
          <w:ilvl w:val="0"/>
          <w:numId w:val="1"/>
        </w:numPr>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采购项目编号：HRC24FSCS0501</w:t>
      </w:r>
    </w:p>
    <w:p w14:paraId="776A682F">
      <w:pPr>
        <w:keepNext w:val="0"/>
        <w:keepLines w:val="0"/>
        <w:widowControl/>
        <w:numPr>
          <w:ilvl w:val="0"/>
          <w:numId w:val="0"/>
        </w:numPr>
        <w:shd w:val="clear" w:color="auto" w:fill="auto"/>
        <w:spacing w:before="0" w:after="0" w:line="360" w:lineRule="auto"/>
        <w:ind w:left="480" w:leftChars="0" w:right="0" w:rightChars="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二、采购项目名称：佛山市养老养生健康产业园项目保安服务</w:t>
      </w:r>
    </w:p>
    <w:p w14:paraId="6B05A716">
      <w:pPr>
        <w:keepNext w:val="0"/>
        <w:keepLines w:val="0"/>
        <w:widowControl/>
        <w:shd w:val="clear" w:color="auto" w:fill="auto"/>
        <w:spacing w:before="0" w:after="0" w:line="360" w:lineRule="auto"/>
        <w:ind w:left="0" w:right="0" w:firstLine="480"/>
        <w:jc w:val="both"/>
        <w:textAlignment w:val="baseline"/>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三、采购项目预算金额（元）：¥684,000.00</w:t>
      </w:r>
    </w:p>
    <w:p w14:paraId="2C82560F">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四、采购数量：1项</w:t>
      </w:r>
    </w:p>
    <w:p w14:paraId="49ABC99E">
      <w:pPr>
        <w:keepNext w:val="0"/>
        <w:keepLines w:val="0"/>
        <w:widowControl/>
        <w:numPr>
          <w:ilvl w:val="0"/>
          <w:numId w:val="0"/>
        </w:numPr>
        <w:shd w:val="clear" w:color="auto" w:fill="auto"/>
        <w:spacing w:before="0" w:after="0" w:line="360" w:lineRule="auto"/>
        <w:ind w:left="480" w:leftChars="0" w:right="0" w:rightChars="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五、项目内容及需求：</w:t>
      </w:r>
    </w:p>
    <w:p w14:paraId="12245049">
      <w:pPr>
        <w:keepNext w:val="0"/>
        <w:keepLines w:val="0"/>
        <w:widowControl/>
        <w:numPr>
          <w:ilvl w:val="0"/>
          <w:numId w:val="0"/>
        </w:numPr>
        <w:shd w:val="clear" w:color="auto" w:fill="auto"/>
        <w:spacing w:before="0" w:after="0" w:line="360" w:lineRule="auto"/>
        <w:ind w:left="480" w:leftChars="0" w:right="0" w:rightChars="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采购包1(佛山市养老养生健康产业园项目保安服务):</w:t>
      </w:r>
    </w:p>
    <w:p w14:paraId="14E426AA">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
        </w:rPr>
        <w:t>采购</w:t>
      </w: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包预算金额：</w:t>
      </w:r>
      <w:r>
        <w:rPr>
          <w:rFonts w:hint="eastAsia" w:ascii="宋体" w:hAnsi="宋体" w:eastAsia="宋体" w:cs="宋体"/>
          <w:color w:val="auto"/>
          <w:kern w:val="0"/>
          <w:sz w:val="24"/>
          <w:szCs w:val="24"/>
          <w:highlight w:val="none"/>
          <w:shd w:val="clear" w:color="auto" w:fill="FFFFFF"/>
          <w:lang w:val="en-US" w:eastAsia="zh-CN" w:bidi="ar"/>
        </w:rPr>
        <w:t>684,000.00</w:t>
      </w: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元</w:t>
      </w: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38"/>
        <w:gridCol w:w="818"/>
        <w:gridCol w:w="2181"/>
        <w:gridCol w:w="1826"/>
      </w:tblGrid>
      <w:tr w14:paraId="7BDC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5" w:type="dxa"/>
            <w:noWrap w:val="0"/>
            <w:vAlign w:val="bottom"/>
          </w:tcPr>
          <w:p w14:paraId="4D62D24B">
            <w:pPr>
              <w:snapToGrid w:val="0"/>
              <w:spacing w:line="360" w:lineRule="auto"/>
              <w:jc w:val="center"/>
              <w:rPr>
                <w:rFonts w:ascii="宋体" w:hAnsi="宋体"/>
                <w:sz w:val="24"/>
                <w:highlight w:val="none"/>
                <w:lang w:val="hr-HR"/>
              </w:rPr>
            </w:pPr>
            <w:r>
              <w:rPr>
                <w:rFonts w:hint="eastAsia" w:ascii="宋体" w:hAnsi="宋体"/>
                <w:color w:val="000000"/>
                <w:sz w:val="24"/>
                <w:highlight w:val="none"/>
              </w:rPr>
              <w:t>序号</w:t>
            </w:r>
          </w:p>
        </w:tc>
        <w:tc>
          <w:tcPr>
            <w:tcW w:w="3338" w:type="dxa"/>
            <w:noWrap w:val="0"/>
            <w:vAlign w:val="bottom"/>
          </w:tcPr>
          <w:p w14:paraId="4CE6AA92">
            <w:pPr>
              <w:snapToGrid w:val="0"/>
              <w:spacing w:line="360" w:lineRule="auto"/>
              <w:jc w:val="center"/>
              <w:rPr>
                <w:rFonts w:ascii="宋体" w:hAnsi="宋体"/>
                <w:sz w:val="24"/>
                <w:highlight w:val="none"/>
                <w:lang w:val="hr-HR"/>
              </w:rPr>
            </w:pPr>
            <w:r>
              <w:rPr>
                <w:rFonts w:hint="eastAsia" w:ascii="宋体" w:hAnsi="宋体"/>
                <w:color w:val="000000"/>
                <w:sz w:val="24"/>
                <w:highlight w:val="none"/>
              </w:rPr>
              <w:t>项目内容</w:t>
            </w:r>
          </w:p>
        </w:tc>
        <w:tc>
          <w:tcPr>
            <w:tcW w:w="818" w:type="dxa"/>
            <w:noWrap w:val="0"/>
            <w:vAlign w:val="bottom"/>
          </w:tcPr>
          <w:p w14:paraId="2A5A2D15">
            <w:pPr>
              <w:snapToGrid w:val="0"/>
              <w:spacing w:line="360" w:lineRule="auto"/>
              <w:jc w:val="center"/>
              <w:rPr>
                <w:rFonts w:ascii="宋体" w:hAnsi="宋体"/>
                <w:color w:val="000000"/>
                <w:sz w:val="24"/>
                <w:highlight w:val="none"/>
              </w:rPr>
            </w:pPr>
            <w:r>
              <w:rPr>
                <w:rFonts w:hint="eastAsia" w:ascii="宋体" w:hAnsi="宋体"/>
                <w:color w:val="000000"/>
                <w:sz w:val="24"/>
                <w:highlight w:val="none"/>
              </w:rPr>
              <w:t>数量</w:t>
            </w:r>
          </w:p>
        </w:tc>
        <w:tc>
          <w:tcPr>
            <w:tcW w:w="2181" w:type="dxa"/>
            <w:noWrap w:val="0"/>
            <w:vAlign w:val="center"/>
          </w:tcPr>
          <w:p w14:paraId="5C5C5F66">
            <w:pPr>
              <w:snapToGrid w:val="0"/>
              <w:spacing w:line="360" w:lineRule="auto"/>
              <w:jc w:val="center"/>
              <w:rPr>
                <w:rFonts w:ascii="宋体" w:hAnsi="宋体"/>
                <w:color w:val="000000"/>
                <w:sz w:val="24"/>
                <w:highlight w:val="none"/>
              </w:rPr>
            </w:pPr>
            <w:r>
              <w:rPr>
                <w:rFonts w:hint="eastAsia" w:ascii="宋体" w:hAnsi="宋体"/>
                <w:color w:val="000000"/>
                <w:sz w:val="24"/>
                <w:highlight w:val="none"/>
              </w:rPr>
              <w:t>最高投标限价</w:t>
            </w:r>
          </w:p>
        </w:tc>
        <w:tc>
          <w:tcPr>
            <w:tcW w:w="1826" w:type="dxa"/>
            <w:noWrap w:val="0"/>
            <w:vAlign w:val="center"/>
          </w:tcPr>
          <w:p w14:paraId="455348EC">
            <w:pPr>
              <w:snapToGrid w:val="0"/>
              <w:spacing w:line="360" w:lineRule="auto"/>
              <w:jc w:val="center"/>
              <w:rPr>
                <w:rFonts w:ascii="宋体" w:hAnsi="宋体"/>
                <w:color w:val="000000"/>
                <w:sz w:val="24"/>
                <w:highlight w:val="none"/>
              </w:rPr>
            </w:pPr>
            <w:r>
              <w:rPr>
                <w:rFonts w:hint="eastAsia" w:ascii="宋体" w:hAnsi="宋体"/>
                <w:color w:val="000000"/>
                <w:sz w:val="24"/>
                <w:highlight w:val="none"/>
              </w:rPr>
              <w:t>服务期限</w:t>
            </w:r>
          </w:p>
        </w:tc>
      </w:tr>
      <w:tr w14:paraId="7172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5" w:type="dxa"/>
            <w:noWrap w:val="0"/>
            <w:vAlign w:val="center"/>
          </w:tcPr>
          <w:p w14:paraId="79379F7F">
            <w:pPr>
              <w:snapToGrid w:val="0"/>
              <w:spacing w:line="360" w:lineRule="auto"/>
              <w:jc w:val="center"/>
              <w:rPr>
                <w:rFonts w:ascii="宋体" w:hAnsi="宋体"/>
                <w:sz w:val="24"/>
                <w:highlight w:val="none"/>
                <w:lang w:val="hr-HR"/>
              </w:rPr>
            </w:pPr>
            <w:r>
              <w:rPr>
                <w:rFonts w:hint="eastAsia" w:ascii="宋体" w:hAnsi="宋体"/>
                <w:sz w:val="24"/>
                <w:highlight w:val="none"/>
                <w:lang w:val="hr-HR"/>
              </w:rPr>
              <w:t>01</w:t>
            </w:r>
          </w:p>
        </w:tc>
        <w:tc>
          <w:tcPr>
            <w:tcW w:w="3338" w:type="dxa"/>
            <w:noWrap w:val="0"/>
            <w:vAlign w:val="center"/>
          </w:tcPr>
          <w:p w14:paraId="76A7A048">
            <w:pPr>
              <w:snapToGrid w:val="0"/>
              <w:spacing w:line="360" w:lineRule="auto"/>
              <w:jc w:val="center"/>
              <w:rPr>
                <w:rFonts w:hint="eastAsia" w:ascii="宋体" w:hAnsi="宋体" w:cs="宋体"/>
                <w:color w:val="auto"/>
                <w:szCs w:val="24"/>
                <w:highlight w:val="none"/>
                <w:shd w:val="clear" w:color="auto" w:fill="FFFFFF"/>
                <w:lang w:val="en-US" w:eastAsia="zh-CN" w:bidi="ar"/>
              </w:rPr>
            </w:pPr>
            <w:r>
              <w:rPr>
                <w:rFonts w:hint="eastAsia" w:ascii="宋体" w:hAnsi="宋体" w:cs="宋体"/>
                <w:color w:val="auto"/>
                <w:szCs w:val="24"/>
                <w:highlight w:val="none"/>
                <w:shd w:val="clear" w:color="auto" w:fill="FFFFFF"/>
                <w:lang w:val="en-US" w:eastAsia="zh-CN" w:bidi="ar"/>
              </w:rPr>
              <w:t>佛山市养老养生健康产业园</w:t>
            </w:r>
          </w:p>
          <w:p w14:paraId="487CF10C">
            <w:pPr>
              <w:snapToGrid w:val="0"/>
              <w:spacing w:line="360" w:lineRule="auto"/>
              <w:jc w:val="center"/>
              <w:rPr>
                <w:rFonts w:ascii="宋体" w:hAnsi="宋体"/>
                <w:color w:val="000000"/>
                <w:sz w:val="24"/>
                <w:highlight w:val="none"/>
              </w:rPr>
            </w:pPr>
            <w:r>
              <w:rPr>
                <w:rFonts w:hint="eastAsia" w:ascii="宋体" w:hAnsi="宋体" w:cs="宋体"/>
                <w:color w:val="auto"/>
                <w:szCs w:val="24"/>
                <w:highlight w:val="none"/>
                <w:shd w:val="clear" w:color="auto" w:fill="FFFFFF"/>
                <w:lang w:val="en-US" w:eastAsia="zh-CN" w:bidi="ar"/>
              </w:rPr>
              <w:t>项目保安服务</w:t>
            </w:r>
          </w:p>
        </w:tc>
        <w:tc>
          <w:tcPr>
            <w:tcW w:w="818" w:type="dxa"/>
            <w:noWrap w:val="0"/>
            <w:vAlign w:val="center"/>
          </w:tcPr>
          <w:p w14:paraId="0BDB7A04">
            <w:pPr>
              <w:snapToGrid w:val="0"/>
              <w:spacing w:line="360" w:lineRule="auto"/>
              <w:jc w:val="center"/>
              <w:rPr>
                <w:rFonts w:ascii="宋体" w:hAnsi="宋体"/>
                <w:color w:val="000000"/>
                <w:sz w:val="24"/>
                <w:highlight w:val="none"/>
              </w:rPr>
            </w:pPr>
            <w:r>
              <w:rPr>
                <w:rFonts w:hint="eastAsia" w:ascii="宋体" w:hAnsi="宋体"/>
                <w:color w:val="000000"/>
                <w:sz w:val="24"/>
                <w:highlight w:val="none"/>
              </w:rPr>
              <w:t>1项</w:t>
            </w:r>
          </w:p>
        </w:tc>
        <w:tc>
          <w:tcPr>
            <w:tcW w:w="2181" w:type="dxa"/>
            <w:noWrap w:val="0"/>
            <w:vAlign w:val="center"/>
          </w:tcPr>
          <w:p w14:paraId="0D9CB483">
            <w:pPr>
              <w:snapToGrid w:val="0"/>
              <w:spacing w:line="360" w:lineRule="auto"/>
              <w:jc w:val="center"/>
              <w:rPr>
                <w:rFonts w:ascii="宋体" w:hAnsi="宋体"/>
                <w:color w:val="000000"/>
                <w:sz w:val="24"/>
                <w:highlight w:val="none"/>
              </w:rPr>
            </w:pPr>
            <w:r>
              <w:rPr>
                <w:rFonts w:hint="eastAsia" w:ascii="宋体" w:hAnsi="宋体" w:cs="宋体"/>
                <w:color w:val="auto"/>
                <w:szCs w:val="24"/>
                <w:highlight w:val="none"/>
                <w:shd w:val="clear" w:color="auto" w:fill="FFFFFF"/>
                <w:lang w:val="en-US" w:eastAsia="zh-CN" w:bidi="ar"/>
              </w:rPr>
              <w:t>68</w:t>
            </w:r>
            <w:r>
              <w:rPr>
                <w:rFonts w:hint="eastAsia" w:cs="宋体"/>
                <w:color w:val="auto"/>
                <w:szCs w:val="24"/>
                <w:highlight w:val="none"/>
                <w:shd w:val="clear" w:color="auto" w:fill="FFFFFF"/>
                <w:lang w:val="en-US" w:eastAsia="zh-CN" w:bidi="ar"/>
              </w:rPr>
              <w:t>4,0</w:t>
            </w:r>
            <w:r>
              <w:rPr>
                <w:rFonts w:hint="eastAsia" w:ascii="宋体" w:hAnsi="宋体" w:cs="宋体"/>
                <w:color w:val="auto"/>
                <w:szCs w:val="24"/>
                <w:highlight w:val="none"/>
                <w:shd w:val="clear" w:color="auto" w:fill="FFFFFF"/>
                <w:lang w:val="en-US" w:eastAsia="zh-CN" w:bidi="ar"/>
              </w:rPr>
              <w:t>00</w:t>
            </w:r>
            <w:r>
              <w:rPr>
                <w:rFonts w:hint="eastAsia" w:cs="宋体"/>
                <w:color w:val="auto"/>
                <w:szCs w:val="24"/>
                <w:highlight w:val="none"/>
                <w:shd w:val="clear" w:color="auto" w:fill="FFFFFF"/>
                <w:lang w:val="en-US" w:eastAsia="zh-CN" w:bidi="ar"/>
              </w:rPr>
              <w:t>.00</w:t>
            </w:r>
            <w:r>
              <w:rPr>
                <w:rFonts w:hint="eastAsia" w:ascii="宋体" w:hAnsi="宋体"/>
                <w:color w:val="000000"/>
                <w:sz w:val="24"/>
                <w:highlight w:val="none"/>
              </w:rPr>
              <w:t>元</w:t>
            </w:r>
          </w:p>
        </w:tc>
        <w:tc>
          <w:tcPr>
            <w:tcW w:w="1826" w:type="dxa"/>
            <w:noWrap w:val="0"/>
            <w:vAlign w:val="center"/>
          </w:tcPr>
          <w:p w14:paraId="1ADAE8AB">
            <w:pPr>
              <w:snapToGrid w:val="0"/>
              <w:spacing w:line="360" w:lineRule="auto"/>
              <w:jc w:val="center"/>
              <w:rPr>
                <w:rFonts w:hint="default" w:ascii="宋体" w:hAnsi="宋体"/>
                <w:color w:val="000000"/>
                <w:sz w:val="24"/>
                <w:highlight w:val="none"/>
                <w:lang w:val="en-US"/>
              </w:rPr>
            </w:pPr>
            <w:r>
              <w:rPr>
                <w:rFonts w:hint="eastAsia" w:ascii="宋体" w:hAnsi="宋体"/>
                <w:color w:val="000000"/>
                <w:sz w:val="24"/>
                <w:highlight w:val="none"/>
                <w:lang w:val="en-US" w:eastAsia="zh-CN"/>
              </w:rPr>
              <w:t>12个月</w:t>
            </w:r>
          </w:p>
        </w:tc>
      </w:tr>
    </w:tbl>
    <w:p w14:paraId="2BB3B0E6">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六、供应商资格：</w:t>
      </w:r>
    </w:p>
    <w:p w14:paraId="511F78B7">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1．具备以下条件：</w:t>
      </w:r>
    </w:p>
    <w:p w14:paraId="774FF7F2">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（1）具有独立承担民事责任的能力：在中华人民共和国境内注册的法人或其他组织或自然人，投标（响应）时提交有效的营业执照（或事业法人登记证或身份证等相关证明）副本扫描件；</w:t>
      </w:r>
    </w:p>
    <w:p w14:paraId="7FE057E9">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有依法缴纳税收和社会保障资金的良好记录：提供以下两种证明材料之一：1.提供《资格声明函》，具体要求详见采购公告附件；2.提供投标截止日前6个月内任意1个月依法缴纳税收和社会保障资金的相关材料。如依法免税或不需要缴纳社会保障资金的，提供相应证明材料；</w:t>
      </w:r>
    </w:p>
    <w:p w14:paraId="3F90214C">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具有良好的商业信誉和健全的财务会计制度：供应商必须具有良好的商业信誉和健全的财务会计制度（提供以下三种证明材料之一：1.提供《资格声明函》，具体要求详见响应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p w14:paraId="61FB3E4A">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（4）履行合同所必需的设备和专业技术能力：提供《资格声明函》；</w:t>
      </w:r>
    </w:p>
    <w:p w14:paraId="450847FC">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（5）参加投标活动前3年内，在经营活动中没有重大违法记录：提供《资格声明函》。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4EDB32B">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（6）法律、行政法规规定的其他条件。</w:t>
      </w:r>
    </w:p>
    <w:p w14:paraId="5B8D16BC">
      <w:pPr>
        <w:keepNext w:val="0"/>
        <w:keepLines w:val="0"/>
        <w:widowControl/>
        <w:shd w:val="clear" w:color="auto" w:fill="auto"/>
        <w:spacing w:before="0" w:after="0" w:line="360" w:lineRule="auto"/>
        <w:ind w:left="0" w:right="0" w:firstLine="480"/>
        <w:jc w:val="both"/>
        <w:textAlignment w:val="baseline"/>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2.</w:t>
      </w:r>
      <w:r>
        <w:rPr>
          <w:rStyle w:val="17"/>
          <w:rFonts w:hint="eastAsia" w:ascii="宋体" w:hAnsi="宋体" w:cs="宋体"/>
          <w:b w:val="0"/>
          <w:bCs w:val="0"/>
          <w:color w:val="000000"/>
          <w:spacing w:val="0"/>
          <w:kern w:val="0"/>
          <w:szCs w:val="24"/>
          <w:highlight w:val="none"/>
        </w:rPr>
        <w:t>供应商未被列入“信用中国”网站(www.creditchina.gov.cr)“记录失信被执行人或重大税收违法失信主体(即原“重大税收违法案件当事人名单”)”记录名单;不处于中国政府采购网(www.ccgp.gov.cn)“政府采购严重违法失信行为信息记录”中的禁止参加政府采购活动期间。(以采购代理机构于投标(响应)截止时间当天在“信用中国”网站(www.cieditchina.gov.cn)及中国政府采购网(http://www.ccgp.gov.cn/)查询结果为准，如相关失信记录已失效供应商需提供相关证明资料)</w:t>
      </w: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w:t>
      </w:r>
    </w:p>
    <w:p w14:paraId="78921560">
      <w:pPr>
        <w:keepNext w:val="0"/>
        <w:keepLines w:val="0"/>
        <w:widowControl/>
        <w:numPr>
          <w:ilvl w:val="0"/>
          <w:numId w:val="0"/>
        </w:numPr>
        <w:shd w:val="clear" w:color="auto" w:fill="auto"/>
        <w:spacing w:before="0" w:after="0" w:line="360" w:lineRule="auto"/>
        <w:ind w:right="0" w:rightChars="0" w:firstLine="480" w:firstLineChars="200"/>
        <w:jc w:val="both"/>
        <w:textAlignment w:val="baseline"/>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3.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0A26FA2">
      <w:pPr>
        <w:keepNext w:val="0"/>
        <w:keepLines w:val="0"/>
        <w:widowControl/>
        <w:numPr>
          <w:ilvl w:val="0"/>
          <w:numId w:val="0"/>
        </w:numPr>
        <w:shd w:val="clear" w:color="auto" w:fill="auto"/>
        <w:spacing w:before="0" w:after="0" w:line="360" w:lineRule="auto"/>
        <w:ind w:right="0" w:rightChars="0" w:firstLine="480" w:firstLineChars="2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4.</w:t>
      </w:r>
      <w:r>
        <w:rPr>
          <w:rFonts w:hint="eastAsia" w:ascii="宋体" w:hAnsi="宋体" w:eastAsia="宋体" w:cs="宋体"/>
          <w:color w:val="auto"/>
          <w:kern w:val="0"/>
          <w:sz w:val="24"/>
          <w:szCs w:val="24"/>
          <w:highlight w:val="none"/>
          <w:lang w:val="en-US" w:eastAsia="zh-CN" w:bidi="ar-SA"/>
        </w:rPr>
        <w:t>供应商须具有公安机关颁发的有效的《保安服务许可证》，若供应商为佛山市外的单位，参与本项目还须承诺：如在本项目中标，在开始提供保安服务之前取得服务所在地设区的市级（或以上）公安机关的备案回执。（响应文件中须提交有效的《保安服务许可证》证书复印件及对本条款内容有效承诺的承诺函&lt;格式自拟&gt;）。</w:t>
      </w:r>
    </w:p>
    <w:p w14:paraId="4DF25283">
      <w:pPr>
        <w:keepNext w:val="0"/>
        <w:keepLines w:val="0"/>
        <w:widowControl/>
        <w:numPr>
          <w:ilvl w:val="0"/>
          <w:numId w:val="0"/>
        </w:numPr>
        <w:shd w:val="clear" w:color="auto" w:fill="auto"/>
        <w:spacing w:before="0" w:after="0" w:line="360" w:lineRule="auto"/>
        <w:ind w:right="0" w:rightChars="0" w:firstLine="480" w:firstLineChars="2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5.本项目不接受联合体磋商。</w:t>
      </w:r>
    </w:p>
    <w:p w14:paraId="2EBD7F44">
      <w:pPr>
        <w:widowControl w:val="0"/>
        <w:spacing w:line="360" w:lineRule="auto"/>
        <w:ind w:firstLine="480" w:firstLineChars="200"/>
        <w:jc w:val="both"/>
        <w:rPr>
          <w:rFonts w:hint="eastAsia" w:ascii="Times New Roman" w:hAnsi="Times New Roman" w:eastAsia="宋体" w:cs="Times New Roman"/>
          <w:color w:val="auto"/>
          <w:kern w:val="2"/>
          <w:sz w:val="24"/>
          <w:szCs w:val="20"/>
          <w:highlight w:val="no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6.本采购包专门面向中小企业采购,供应商应为中小微企业（符合要求的供应商须提供《中小企业声明函》）。</w:t>
      </w:r>
      <w:r>
        <w:rPr>
          <w:rStyle w:val="17"/>
          <w:rFonts w:hint="eastAsia" w:ascii="宋体" w:hAnsi="宋体" w:eastAsia="宋体" w:cs="宋体"/>
          <w:b w:val="0"/>
          <w:bCs w:val="0"/>
          <w:color w:val="auto"/>
          <w:spacing w:val="0"/>
          <w:kern w:val="2"/>
          <w:szCs w:val="24"/>
          <w:highlight w:val="none"/>
          <w:lang w:val="en-US" w:eastAsia="zh-CN"/>
        </w:rPr>
        <w:t>本项目采购标对应的中小企业划分标准所属行业：</w:t>
      </w:r>
      <w:r>
        <w:rPr>
          <w:rStyle w:val="17"/>
          <w:rFonts w:hint="eastAsia" w:ascii="宋体" w:hAnsi="宋体" w:cs="宋体"/>
          <w:b w:val="0"/>
          <w:bCs w:val="0"/>
          <w:color w:val="auto"/>
          <w:spacing w:val="0"/>
          <w:kern w:val="2"/>
          <w:szCs w:val="24"/>
          <w:highlight w:val="none"/>
          <w:lang w:val="en-US" w:eastAsia="zh-CN"/>
        </w:rPr>
        <w:t>租赁和商务服务业</w:t>
      </w:r>
      <w:r>
        <w:rPr>
          <w:rStyle w:val="17"/>
          <w:rFonts w:hint="eastAsia" w:ascii="宋体" w:hAnsi="宋体" w:eastAsia="宋体" w:cs="宋体"/>
          <w:b w:val="0"/>
          <w:bCs w:val="0"/>
          <w:color w:val="auto"/>
          <w:spacing w:val="0"/>
          <w:kern w:val="2"/>
          <w:szCs w:val="24"/>
          <w:highlight w:val="none"/>
          <w:lang w:val="en-US" w:eastAsia="zh-CN"/>
        </w:rPr>
        <w:t>。</w:t>
      </w:r>
    </w:p>
    <w:p w14:paraId="50CF5CE8">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lang w:val="en-US" w:eastAsia="zh-CN"/>
        </w:rPr>
        <w:t>七</w:t>
      </w:r>
      <w:r>
        <w:rPr>
          <w:rStyle w:val="17"/>
          <w:rFonts w:hint="eastAsia" w:ascii="宋体" w:hAnsi="宋体" w:eastAsia="宋体" w:cs="宋体"/>
          <w:b w:val="0"/>
          <w:bCs w:val="0"/>
          <w:color w:val="000000"/>
          <w:spacing w:val="0"/>
          <w:kern w:val="0"/>
          <w:szCs w:val="24"/>
          <w:highlight w:val="none"/>
        </w:rPr>
        <w:t>、符合资格的供应商应当在2024年</w:t>
      </w:r>
      <w:r>
        <w:rPr>
          <w:rStyle w:val="17"/>
          <w:rFonts w:hint="eastAsia" w:ascii="宋体" w:hAnsi="宋体" w:cs="宋体"/>
          <w:b w:val="0"/>
          <w:bCs w:val="0"/>
          <w:color w:val="000000"/>
          <w:spacing w:val="0"/>
          <w:kern w:val="0"/>
          <w:szCs w:val="24"/>
          <w:highlight w:val="none"/>
          <w:lang w:val="en-US" w:eastAsia="zh-CN"/>
        </w:rPr>
        <w:t>6</w:t>
      </w:r>
      <w:r>
        <w:rPr>
          <w:rStyle w:val="17"/>
          <w:rFonts w:hint="eastAsia" w:ascii="宋体" w:hAnsi="宋体" w:eastAsia="宋体" w:cs="宋体"/>
          <w:b w:val="0"/>
          <w:bCs w:val="0"/>
          <w:color w:val="000000"/>
          <w:spacing w:val="0"/>
          <w:kern w:val="0"/>
          <w:szCs w:val="24"/>
          <w:highlight w:val="none"/>
        </w:rPr>
        <w:t>月</w:t>
      </w:r>
      <w:r>
        <w:rPr>
          <w:rStyle w:val="17"/>
          <w:rFonts w:hint="eastAsia" w:ascii="宋体" w:hAnsi="宋体" w:cs="宋体"/>
          <w:b w:val="0"/>
          <w:bCs w:val="0"/>
          <w:color w:val="000000"/>
          <w:spacing w:val="0"/>
          <w:kern w:val="0"/>
          <w:szCs w:val="24"/>
          <w:highlight w:val="none"/>
          <w:lang w:val="en-US"/>
        </w:rPr>
        <w:t>6</w:t>
      </w:r>
      <w:r>
        <w:rPr>
          <w:rStyle w:val="17"/>
          <w:rFonts w:hint="eastAsia" w:ascii="宋体" w:hAnsi="宋体" w:eastAsia="宋体" w:cs="宋体"/>
          <w:b w:val="0"/>
          <w:bCs w:val="0"/>
          <w:color w:val="000000"/>
          <w:spacing w:val="0"/>
          <w:kern w:val="0"/>
          <w:szCs w:val="24"/>
          <w:highlight w:val="none"/>
        </w:rPr>
        <w:t>日至2024 年</w:t>
      </w:r>
      <w:r>
        <w:rPr>
          <w:rStyle w:val="17"/>
          <w:rFonts w:hint="eastAsia" w:ascii="宋体" w:hAnsi="宋体" w:cs="宋体"/>
          <w:b w:val="0"/>
          <w:bCs w:val="0"/>
          <w:color w:val="000000"/>
          <w:spacing w:val="0"/>
          <w:kern w:val="0"/>
          <w:szCs w:val="24"/>
          <w:highlight w:val="none"/>
          <w:lang w:val="en-US"/>
        </w:rPr>
        <w:t>6</w:t>
      </w:r>
      <w:r>
        <w:rPr>
          <w:rStyle w:val="17"/>
          <w:rFonts w:hint="eastAsia" w:ascii="宋体" w:hAnsi="宋体" w:eastAsia="宋体" w:cs="宋体"/>
          <w:b w:val="0"/>
          <w:bCs w:val="0"/>
          <w:color w:val="000000"/>
          <w:spacing w:val="0"/>
          <w:kern w:val="0"/>
          <w:szCs w:val="24"/>
          <w:highlight w:val="none"/>
        </w:rPr>
        <w:t>月</w:t>
      </w:r>
      <w:r>
        <w:rPr>
          <w:rStyle w:val="17"/>
          <w:rFonts w:hint="eastAsia" w:ascii="宋体" w:hAnsi="宋体" w:cs="宋体"/>
          <w:b w:val="0"/>
          <w:bCs w:val="0"/>
          <w:color w:val="000000"/>
          <w:spacing w:val="0"/>
          <w:kern w:val="0"/>
          <w:szCs w:val="24"/>
          <w:highlight w:val="none"/>
          <w:lang w:val="en-US"/>
        </w:rPr>
        <w:t>13</w:t>
      </w:r>
      <w:r>
        <w:rPr>
          <w:rStyle w:val="17"/>
          <w:rFonts w:hint="eastAsia" w:ascii="宋体" w:hAnsi="宋体" w:eastAsia="宋体" w:cs="宋体"/>
          <w:b w:val="0"/>
          <w:bCs w:val="0"/>
          <w:color w:val="000000"/>
          <w:spacing w:val="0"/>
          <w:kern w:val="0"/>
          <w:szCs w:val="24"/>
          <w:highlight w:val="none"/>
        </w:rPr>
        <w:t>日期间（上午08:30至12:00,下午14:00至17:30）到华睿诚项目管理有限公司（详细地址：佛山市南海区季华东路天安中心3座1410）购买竞争性磋商文件，竞争性磋商文件每套售价500元（人民币），售后不退。</w:t>
      </w:r>
    </w:p>
    <w:p w14:paraId="505F5046">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7.1购买磋商文件需提供的资料（复印件加盖供应商公章）：</w:t>
      </w:r>
    </w:p>
    <w:p w14:paraId="3948AF73">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有效的法人或者其他组织的营业执照等证明文件的复印件（加盖供应商公章）。</w:t>
      </w:r>
    </w:p>
    <w:p w14:paraId="53DE8996">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7.2选择以现场购买磋商文件的，携带“7.1购买磋商文件需提供的资料”到华睿诚项目管理有限公司（详细地址：佛山市南海区季华东路天安中心3座1410）购买磋商文件（电子版及纸质版）。</w:t>
      </w:r>
    </w:p>
    <w:p w14:paraId="213E0196">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7.3选择以邮寄方式购买磋商文件的，将购买磋商文件需提供的资料作为邮件附件，按以下邮件主题格式发送至购买磋商文件的邮箱进行购买磋商文件，同时应在汇款单上注明项目名称。</w:t>
      </w:r>
    </w:p>
    <w:p w14:paraId="477C3AEF">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①邮件主题格式：“购买磋商文件资料”；</w:t>
      </w:r>
    </w:p>
    <w:p w14:paraId="241FD8AC">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②购买磋商文件的邮箱：huaruichengfs@163.com。</w:t>
      </w:r>
    </w:p>
    <w:p w14:paraId="04D0B3EB">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③须另交人民币60元作为特快专递费用；款到指定账户后，采购代理机构即向供应商发出纸质磋商文件；通过邮寄方式发出的所有资料以邮递部门送达的时间为准，采购人及采购代理机构对邮件送达延误、损坏、丢失、毁灭等情形不负任何责任。</w:t>
      </w:r>
    </w:p>
    <w:p w14:paraId="5D607CF8">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汇款账号信息如下：</w:t>
      </w:r>
    </w:p>
    <w:p w14:paraId="70C29D30">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  户  名：华睿诚项目管理有限公司佛山分公司</w:t>
      </w:r>
    </w:p>
    <w:p w14:paraId="61ABE4B8">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 xml:space="preserve">    开户行：广东南海农村商业银行股份有限公司桂城季华分理处</w:t>
      </w:r>
    </w:p>
    <w:p w14:paraId="6CEBA6CB">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 xml:space="preserve">    账  号：80020000011993972</w:t>
      </w:r>
    </w:p>
    <w:p w14:paraId="651958ED">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④温馨提示：为确保供应商网络购买磋商文件是否成功，请供应商在发出邮件后致电购买文件联系人以确认购买磋商文件情况。</w:t>
      </w:r>
    </w:p>
    <w:p w14:paraId="1746621D">
      <w:pPr>
        <w:keepNext w:val="0"/>
        <w:keepLines w:val="0"/>
        <w:widowControl/>
        <w:shd w:val="clear" w:color="auto" w:fill="auto"/>
        <w:spacing w:before="0" w:after="0" w:line="360" w:lineRule="auto"/>
        <w:ind w:left="0" w:right="0" w:firstLine="480"/>
        <w:jc w:val="both"/>
        <w:textAlignment w:val="baseline"/>
        <w:rPr>
          <w:rStyle w:val="17"/>
          <w:rFonts w:hint="eastAsia" w:ascii="宋体" w:hAnsi="宋体" w:eastAsia="宋体" w:cs="宋体"/>
          <w:b w:val="0"/>
          <w:bCs w:val="0"/>
          <w:color w:val="000000"/>
          <w:spacing w:val="0"/>
          <w:kern w:val="0"/>
          <w:sz w:val="24"/>
          <w:szCs w:val="24"/>
          <w:highlight w:val="none"/>
          <w:lang w:val="en-US" w:eastAsia="zh-CN" w:bidi="ar-SA"/>
        </w:rPr>
      </w:pPr>
      <w:r>
        <w:rPr>
          <w:rStyle w:val="17"/>
          <w:rFonts w:hint="eastAsia" w:ascii="宋体" w:hAnsi="宋体" w:eastAsia="宋体" w:cs="宋体"/>
          <w:b w:val="0"/>
          <w:bCs w:val="0"/>
          <w:color w:val="000000"/>
          <w:spacing w:val="0"/>
          <w:kern w:val="0"/>
          <w:szCs w:val="24"/>
          <w:highlight w:val="none"/>
        </w:rPr>
        <w:t>注：采购代理机构对供应商提交的报名资料进行核对，不代表其投标资格的确认。供应商的投标资格最终根据其响应文件中提交的相关资料作出的审查结论为准。</w:t>
      </w:r>
    </w:p>
    <w:p w14:paraId="180C898C">
      <w:pPr>
        <w:widowControl w:val="0"/>
        <w:spacing w:line="360" w:lineRule="auto"/>
        <w:ind w:firstLine="0" w:firstLineChars="0"/>
        <w:jc w:val="both"/>
        <w:rPr>
          <w:rFonts w:ascii="宋体" w:hAnsi="宋体" w:eastAsia="宋体" w:cs="宋体"/>
          <w:color w:val="auto"/>
          <w:kern w:val="2"/>
          <w:sz w:val="24"/>
          <w:szCs w:val="24"/>
          <w:highlight w:val="none"/>
          <w:lang w:val="en-US" w:eastAsia="zh-CN" w:bidi="ar-SA"/>
        </w:rPr>
      </w:pPr>
      <w:bookmarkStart w:id="3" w:name="_Toc5569"/>
      <w:bookmarkStart w:id="4" w:name="_Toc32547"/>
      <w:r>
        <w:rPr>
          <w:rFonts w:hint="eastAsia" w:ascii="宋体" w:hAnsi="宋体" w:eastAsia="宋体" w:cs="宋体"/>
          <w:color w:val="auto"/>
          <w:kern w:val="2"/>
          <w:sz w:val="24"/>
          <w:szCs w:val="24"/>
          <w:highlight w:val="none"/>
          <w:lang w:val="en-US" w:eastAsia="zh-CN" w:bidi="ar-SA"/>
        </w:rPr>
        <w:t>八、提交磋商响应文件截止时间：2024年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日9时30分。</w:t>
      </w:r>
    </w:p>
    <w:p w14:paraId="4A41B513">
      <w:pPr>
        <w:widowControl w:val="0"/>
        <w:spacing w:line="36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九、提交磋商响应文件地点：</w:t>
      </w:r>
      <w:r>
        <w:rPr>
          <w:rFonts w:hint="eastAsia" w:ascii="Times New Roman" w:hAnsi="Times New Roman" w:eastAsia="宋体" w:cs="宋体"/>
          <w:i w:val="0"/>
          <w:iCs w:val="0"/>
          <w:caps w:val="0"/>
          <w:smallCaps w:val="0"/>
          <w:color w:val="auto"/>
          <w:spacing w:val="0"/>
          <w:kern w:val="2"/>
          <w:position w:val="0"/>
          <w:sz w:val="24"/>
          <w:szCs w:val="24"/>
          <w:highlight w:val="none"/>
          <w:shd w:val="clear" w:color="auto" w:fill="FFFFFF"/>
          <w:vertAlign w:val="baseline"/>
          <w:lang w:val="en-US" w:eastAsia="zh-CN" w:bidi="ar-SA"/>
        </w:rPr>
        <w:t>佛山市南海区季华东路天安中心3座1410开标室。</w:t>
      </w:r>
    </w:p>
    <w:p w14:paraId="5A838D42">
      <w:pPr>
        <w:adjustRightInd w:val="0"/>
        <w:snapToGrid w:val="0"/>
        <w:spacing w:line="360" w:lineRule="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十、磋商时间：</w:t>
      </w:r>
      <w:r>
        <w:rPr>
          <w:rFonts w:hint="eastAsia" w:ascii="宋体" w:hAnsi="宋体" w:cs="宋体"/>
          <w:color w:val="auto"/>
          <w:szCs w:val="24"/>
          <w:highlight w:val="none"/>
          <w:lang w:val="en-US" w:eastAsia="zh-CN"/>
        </w:rPr>
        <w:t>2024</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17</w:t>
      </w:r>
      <w:r>
        <w:rPr>
          <w:rFonts w:hint="eastAsia" w:ascii="宋体" w:hAnsi="宋体" w:cs="宋体"/>
          <w:color w:val="auto"/>
          <w:szCs w:val="24"/>
          <w:highlight w:val="none"/>
        </w:rPr>
        <w:t>日</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时</w:t>
      </w:r>
      <w:r>
        <w:rPr>
          <w:rFonts w:hint="eastAsia" w:ascii="宋体" w:hAnsi="宋体" w:cs="宋体"/>
          <w:color w:val="auto"/>
          <w:szCs w:val="24"/>
          <w:highlight w:val="none"/>
          <w:lang w:val="en-US" w:eastAsia="zh-CN"/>
        </w:rPr>
        <w:t>30</w:t>
      </w:r>
      <w:r>
        <w:rPr>
          <w:rFonts w:hint="eastAsia" w:ascii="宋体" w:hAnsi="宋体" w:cs="宋体"/>
          <w:color w:val="auto"/>
          <w:szCs w:val="24"/>
          <w:highlight w:val="none"/>
        </w:rPr>
        <w:t>分。</w:t>
      </w:r>
      <w:r>
        <w:rPr>
          <w:rFonts w:hint="eastAsia" w:ascii="宋体" w:hAnsi="宋体" w:cs="宋体"/>
          <w:color w:val="auto"/>
          <w:szCs w:val="24"/>
          <w:highlight w:val="none"/>
          <w:lang w:val="en-US" w:eastAsia="zh-CN"/>
        </w:rPr>
        <w:t xml:space="preserve"> </w:t>
      </w:r>
    </w:p>
    <w:p w14:paraId="2FD0997D">
      <w:pPr>
        <w:adjustRightInd w:val="0"/>
        <w:snapToGrid w:val="0"/>
        <w:spacing w:line="360" w:lineRule="auto"/>
        <w:ind w:left="240" w:hanging="240" w:hangingChars="100"/>
        <w:rPr>
          <w:rFonts w:hint="default" w:ascii="宋体" w:hAnsi="宋体" w:cs="宋体"/>
          <w:color w:val="auto"/>
          <w:szCs w:val="24"/>
          <w:highlight w:val="none"/>
          <w:lang w:val="en-US"/>
        </w:rPr>
      </w:pPr>
      <w:r>
        <w:rPr>
          <w:rFonts w:hint="eastAsia" w:ascii="宋体" w:hAnsi="宋体" w:cs="宋体"/>
          <w:color w:val="auto"/>
          <w:szCs w:val="24"/>
          <w:highlight w:val="none"/>
        </w:rPr>
        <w:t>十一、磋商地点：</w:t>
      </w:r>
      <w:r>
        <w:rPr>
          <w:rFonts w:hint="eastAsia" w:cs="宋体"/>
          <w:i w:val="0"/>
          <w:iCs w:val="0"/>
          <w:caps w:val="0"/>
          <w:smallCaps w:val="0"/>
          <w:color w:val="auto"/>
          <w:spacing w:val="0"/>
          <w:position w:val="0"/>
          <w:sz w:val="24"/>
          <w:szCs w:val="24"/>
          <w:highlight w:val="none"/>
          <w:shd w:val="clear" w:color="auto" w:fill="FFFFFF"/>
          <w:vertAlign w:val="baseline"/>
          <w:lang w:eastAsia="zh-CN"/>
        </w:rPr>
        <w:t>佛山市南海区季华东路天安中心3座1410</w:t>
      </w:r>
      <w:r>
        <w:rPr>
          <w:rFonts w:hint="eastAsia" w:cs="宋体"/>
          <w:i w:val="0"/>
          <w:iCs w:val="0"/>
          <w:caps w:val="0"/>
          <w:smallCaps w:val="0"/>
          <w:color w:val="auto"/>
          <w:spacing w:val="0"/>
          <w:position w:val="0"/>
          <w:sz w:val="24"/>
          <w:szCs w:val="24"/>
          <w:highlight w:val="none"/>
          <w:shd w:val="clear" w:color="auto" w:fill="FFFFFF"/>
          <w:vertAlign w:val="baseline"/>
          <w:lang w:val="en-US" w:eastAsia="zh-CN"/>
        </w:rPr>
        <w:t>开标室。</w:t>
      </w:r>
    </w:p>
    <w:p w14:paraId="507C451F">
      <w:pPr>
        <w:adjustRightInd w:val="0"/>
        <w:snapToGrid w:val="0"/>
        <w:spacing w:line="360" w:lineRule="auto"/>
        <w:ind w:left="240" w:hanging="240" w:hangingChars="100"/>
        <w:rPr>
          <w:rFonts w:ascii="宋体" w:hAnsi="宋体" w:cs="宋体"/>
          <w:color w:val="auto"/>
          <w:szCs w:val="24"/>
          <w:highlight w:val="none"/>
        </w:rPr>
      </w:pPr>
      <w:r>
        <w:rPr>
          <w:rFonts w:hint="eastAsia" w:ascii="宋体" w:hAnsi="宋体" w:cs="宋体"/>
          <w:color w:val="auto"/>
          <w:szCs w:val="24"/>
          <w:highlight w:val="none"/>
        </w:rPr>
        <w:t>十二、本公告期限（</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个工作日）自</w:t>
      </w:r>
      <w:r>
        <w:rPr>
          <w:rFonts w:hint="eastAsia" w:ascii="宋体" w:hAnsi="宋体" w:cs="宋体"/>
          <w:color w:val="auto"/>
          <w:szCs w:val="24"/>
          <w:highlight w:val="none"/>
          <w:lang w:val="en-US" w:eastAsia="zh-CN"/>
        </w:rPr>
        <w:t xml:space="preserve">2024 </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日至</w:t>
      </w:r>
      <w:r>
        <w:rPr>
          <w:rFonts w:hint="eastAsia" w:ascii="宋体" w:hAnsi="宋体" w:cs="宋体"/>
          <w:color w:val="auto"/>
          <w:szCs w:val="24"/>
          <w:highlight w:val="none"/>
          <w:lang w:val="en-US" w:eastAsia="zh-CN"/>
        </w:rPr>
        <w:t>2024</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日止。</w:t>
      </w:r>
    </w:p>
    <w:p w14:paraId="47D35D01">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十三、本项目发布信息查询：（在以下媒体中发布公示及公告）：</w:t>
      </w:r>
    </w:p>
    <w:p w14:paraId="4F0869B3">
      <w:pPr>
        <w:widowControl/>
        <w:spacing w:line="360" w:lineRule="auto"/>
        <w:jc w:val="left"/>
        <w:rPr>
          <w:rFonts w:hint="eastAsia" w:ascii="宋体" w:hAnsi="宋体" w:cs="宋体"/>
          <w:szCs w:val="24"/>
          <w:highlight w:val="none"/>
          <w:shd w:val="clear" w:color="auto" w:fill="FFFFFF"/>
          <w:lang w:val="en-US" w:eastAsia="zh-CN"/>
        </w:rPr>
      </w:pPr>
      <w:r>
        <w:rPr>
          <w:rFonts w:hint="eastAsia" w:ascii="宋体" w:hAnsi="宋体" w:cs="宋体"/>
          <w:szCs w:val="24"/>
          <w:highlight w:val="none"/>
          <w:shd w:val="clear" w:color="auto" w:fill="FFFFFF"/>
          <w:lang w:val="en-US" w:eastAsia="zh-CN"/>
        </w:rPr>
        <w:t>采购与招标网（https://www.chinabidding.cn/）,</w:t>
      </w:r>
    </w:p>
    <w:p w14:paraId="12919815">
      <w:pPr>
        <w:widowControl/>
        <w:spacing w:line="360" w:lineRule="auto"/>
        <w:jc w:val="left"/>
        <w:rPr>
          <w:rFonts w:hint="eastAsia" w:ascii="宋体" w:hAnsi="宋体" w:cs="宋体"/>
          <w:szCs w:val="24"/>
          <w:highlight w:val="none"/>
          <w:shd w:val="clear" w:color="auto" w:fill="FFFFFF"/>
          <w:lang w:val="en-US" w:eastAsia="zh-CN"/>
        </w:rPr>
      </w:pPr>
      <w:r>
        <w:rPr>
          <w:rFonts w:hint="eastAsia" w:ascii="宋体" w:hAnsi="宋体" w:cs="宋体"/>
          <w:szCs w:val="24"/>
          <w:highlight w:val="none"/>
          <w:shd w:val="clear" w:color="auto" w:fill="FFFFFF"/>
          <w:lang w:val="en-US" w:eastAsia="zh-CN"/>
        </w:rPr>
        <w:t>华睿诚项目管理有限公司网（http://www.huaruicheng.com.cn/），</w:t>
      </w:r>
    </w:p>
    <w:p w14:paraId="03888D3C">
      <w:pPr>
        <w:widowControl/>
        <w:spacing w:line="360" w:lineRule="auto"/>
        <w:jc w:val="left"/>
        <w:rPr>
          <w:rFonts w:hint="eastAsia" w:ascii="宋体" w:hAnsi="宋体" w:cs="宋体"/>
          <w:szCs w:val="24"/>
          <w:highlight w:val="none"/>
          <w:shd w:val="clear" w:color="auto" w:fill="FFFFFF"/>
          <w:lang w:val="en-US" w:eastAsia="zh-CN"/>
        </w:rPr>
      </w:pPr>
      <w:r>
        <w:rPr>
          <w:rFonts w:hint="eastAsia" w:ascii="宋体" w:hAnsi="宋体" w:cs="宋体"/>
          <w:szCs w:val="24"/>
          <w:highlight w:val="none"/>
          <w:shd w:val="clear" w:color="auto" w:fill="FFFFFF"/>
          <w:lang w:val="en-US" w:eastAsia="zh-CN"/>
        </w:rPr>
        <w:t>禅城区人民政府门户网（http://www.chancheng.gov.cn/），</w:t>
      </w:r>
    </w:p>
    <w:p w14:paraId="6B7C1A7B">
      <w:pPr>
        <w:adjustRightInd w:val="0"/>
        <w:snapToGrid w:val="0"/>
        <w:spacing w:line="360" w:lineRule="auto"/>
        <w:rPr>
          <w:rFonts w:hint="eastAsia" w:ascii="宋体" w:hAnsi="宋体" w:cs="宋体"/>
          <w:szCs w:val="24"/>
          <w:highlight w:val="none"/>
          <w:shd w:val="clear" w:color="auto" w:fill="FFFFFF"/>
          <w:lang w:val="en-US" w:eastAsia="zh-CN"/>
        </w:rPr>
      </w:pPr>
      <w:r>
        <w:rPr>
          <w:rFonts w:hint="eastAsia" w:ascii="宋体" w:hAnsi="宋体" w:cs="宋体"/>
          <w:szCs w:val="24"/>
          <w:highlight w:val="none"/>
          <w:shd w:val="clear" w:color="auto" w:fill="FFFFFF"/>
          <w:lang w:val="en-US" w:eastAsia="zh-CN"/>
        </w:rPr>
        <w:t>祖庙街道办事处（http://www.chancheng.gov.cn/zumiao/）</w:t>
      </w:r>
    </w:p>
    <w:p w14:paraId="6D85EC8B">
      <w:pPr>
        <w:adjustRightInd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十四、联系事项</w:t>
      </w:r>
    </w:p>
    <w:tbl>
      <w:tblPr>
        <w:tblStyle w:val="15"/>
        <w:tblW w:w="9806" w:type="dxa"/>
        <w:tblInd w:w="0" w:type="dxa"/>
        <w:tblLayout w:type="fixed"/>
        <w:tblCellMar>
          <w:top w:w="0" w:type="dxa"/>
          <w:left w:w="108" w:type="dxa"/>
          <w:bottom w:w="0" w:type="dxa"/>
          <w:right w:w="108" w:type="dxa"/>
        </w:tblCellMar>
      </w:tblPr>
      <w:tblGrid>
        <w:gridCol w:w="4903"/>
        <w:gridCol w:w="4903"/>
      </w:tblGrid>
      <w:tr w14:paraId="1F770CF0">
        <w:tblPrEx>
          <w:tblCellMar>
            <w:top w:w="0" w:type="dxa"/>
            <w:left w:w="108" w:type="dxa"/>
            <w:bottom w:w="0" w:type="dxa"/>
            <w:right w:w="108" w:type="dxa"/>
          </w:tblCellMar>
        </w:tblPrEx>
        <w:tc>
          <w:tcPr>
            <w:tcW w:w="9806" w:type="dxa"/>
            <w:gridSpan w:val="2"/>
            <w:noWrap w:val="0"/>
            <w:vAlign w:val="center"/>
          </w:tcPr>
          <w:p w14:paraId="069ABB3B">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shd w:val="clear" w:color="auto" w:fill="FFFFFF"/>
                <w:lang w:val="en-US" w:eastAsia="zh-CN" w:bidi="ar"/>
              </w:rPr>
              <w:t>佛山市禅城区祖庙街道城建和水务办公室</w:t>
            </w:r>
          </w:p>
        </w:tc>
      </w:tr>
      <w:tr w14:paraId="55CE3733">
        <w:tblPrEx>
          <w:tblCellMar>
            <w:top w:w="0" w:type="dxa"/>
            <w:left w:w="108" w:type="dxa"/>
            <w:bottom w:w="0" w:type="dxa"/>
            <w:right w:w="108" w:type="dxa"/>
          </w:tblCellMar>
        </w:tblPrEx>
        <w:tc>
          <w:tcPr>
            <w:tcW w:w="4903" w:type="dxa"/>
            <w:noWrap w:val="0"/>
            <w:vAlign w:val="center"/>
          </w:tcPr>
          <w:p w14:paraId="3026E904">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联系人：陈工</w:t>
            </w:r>
          </w:p>
        </w:tc>
        <w:tc>
          <w:tcPr>
            <w:tcW w:w="4903" w:type="dxa"/>
            <w:noWrap w:val="0"/>
            <w:vAlign w:val="center"/>
          </w:tcPr>
          <w:p w14:paraId="3CF708BE">
            <w:pPr>
              <w:widowControl w:val="0"/>
              <w:spacing w:line="360" w:lineRule="auto"/>
              <w:ind w:left="720" w:firstLine="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r>
              <w:rPr>
                <w:rFonts w:hint="eastAsia" w:ascii="宋体" w:hAnsi="Times New Roman" w:eastAsia="宋体" w:cs="Times New Roman"/>
                <w:bCs/>
                <w:color w:val="auto"/>
                <w:kern w:val="2"/>
                <w:sz w:val="24"/>
                <w:szCs w:val="24"/>
                <w:highlight w:val="none"/>
                <w:lang w:val="en-US" w:eastAsia="zh-CN" w:bidi="ar-SA"/>
              </w:rPr>
              <w:t>0757-82322456</w:t>
            </w:r>
          </w:p>
        </w:tc>
      </w:tr>
      <w:tr w14:paraId="1136001D">
        <w:tblPrEx>
          <w:tblCellMar>
            <w:top w:w="0" w:type="dxa"/>
            <w:left w:w="108" w:type="dxa"/>
            <w:bottom w:w="0" w:type="dxa"/>
            <w:right w:w="108" w:type="dxa"/>
          </w:tblCellMar>
        </w:tblPrEx>
        <w:tc>
          <w:tcPr>
            <w:tcW w:w="9806" w:type="dxa"/>
            <w:gridSpan w:val="2"/>
            <w:noWrap w:val="0"/>
            <w:vAlign w:val="center"/>
          </w:tcPr>
          <w:p w14:paraId="22D8F002">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采购代理机构：华睿诚项目管理有限公司</w:t>
            </w:r>
          </w:p>
        </w:tc>
      </w:tr>
      <w:tr w14:paraId="0A7F142E">
        <w:tblPrEx>
          <w:tblCellMar>
            <w:top w:w="0" w:type="dxa"/>
            <w:left w:w="108" w:type="dxa"/>
            <w:bottom w:w="0" w:type="dxa"/>
            <w:right w:w="108" w:type="dxa"/>
          </w:tblCellMar>
        </w:tblPrEx>
        <w:tc>
          <w:tcPr>
            <w:tcW w:w="9806" w:type="dxa"/>
            <w:gridSpan w:val="2"/>
            <w:noWrap w:val="0"/>
            <w:vAlign w:val="center"/>
          </w:tcPr>
          <w:p w14:paraId="61A60A8C">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地址：佛山市南海区季华东路天安中心3座1410</w:t>
            </w:r>
          </w:p>
        </w:tc>
      </w:tr>
      <w:tr w14:paraId="2E835871">
        <w:tblPrEx>
          <w:tblCellMar>
            <w:top w:w="0" w:type="dxa"/>
            <w:left w:w="108" w:type="dxa"/>
            <w:bottom w:w="0" w:type="dxa"/>
            <w:right w:w="108" w:type="dxa"/>
          </w:tblCellMar>
        </w:tblPrEx>
        <w:tc>
          <w:tcPr>
            <w:tcW w:w="4903" w:type="dxa"/>
            <w:noWrap w:val="0"/>
            <w:vAlign w:val="center"/>
          </w:tcPr>
          <w:p w14:paraId="500E6544">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联系人：徐工</w:t>
            </w:r>
          </w:p>
        </w:tc>
        <w:tc>
          <w:tcPr>
            <w:tcW w:w="4903" w:type="dxa"/>
            <w:noWrap w:val="0"/>
            <w:vAlign w:val="center"/>
          </w:tcPr>
          <w:p w14:paraId="24A37950">
            <w:pPr>
              <w:widowControl/>
              <w:adjustRightInd w:val="0"/>
              <w:snapToGrid w:val="0"/>
              <w:spacing w:before="0" w:beforeAutospacing="0" w:after="0" w:afterAutospacing="0" w:line="360" w:lineRule="auto"/>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w:t>
            </w:r>
            <w:r>
              <w:rPr>
                <w:rFonts w:hint="eastAsia" w:ascii="宋体" w:hAnsi="宋体" w:eastAsia="宋体" w:cs="宋体"/>
                <w:color w:val="auto"/>
                <w:kern w:val="1"/>
                <w:sz w:val="24"/>
                <w:szCs w:val="24"/>
                <w:highlight w:val="none"/>
                <w:lang w:val="en-US" w:eastAsia="zh-CN" w:bidi="ar-SA"/>
              </w:rPr>
              <w:t>0757-81019488</w:t>
            </w:r>
          </w:p>
        </w:tc>
      </w:tr>
      <w:tr w14:paraId="433E56F0">
        <w:tblPrEx>
          <w:tblCellMar>
            <w:top w:w="0" w:type="dxa"/>
            <w:left w:w="108" w:type="dxa"/>
            <w:bottom w:w="0" w:type="dxa"/>
            <w:right w:w="108" w:type="dxa"/>
          </w:tblCellMar>
        </w:tblPrEx>
        <w:tc>
          <w:tcPr>
            <w:tcW w:w="4903" w:type="dxa"/>
            <w:noWrap w:val="0"/>
            <w:vAlign w:val="center"/>
          </w:tcPr>
          <w:p w14:paraId="44245A2B">
            <w:pPr>
              <w:widowControl/>
              <w:adjustRightInd w:val="0"/>
              <w:snapToGrid w:val="0"/>
              <w:spacing w:before="0" w:beforeAutospacing="0" w:after="0" w:afterAutospacing="0"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邮编：528000</w:t>
            </w:r>
          </w:p>
        </w:tc>
        <w:tc>
          <w:tcPr>
            <w:tcW w:w="4903" w:type="dxa"/>
            <w:noWrap w:val="0"/>
            <w:vAlign w:val="center"/>
          </w:tcPr>
          <w:p w14:paraId="1173D3E2">
            <w:pPr>
              <w:widowControl/>
              <w:adjustRightInd w:val="0"/>
              <w:snapToGrid w:val="0"/>
              <w:spacing w:before="0" w:beforeAutospacing="0" w:after="0" w:afterAutospacing="0" w:line="360" w:lineRule="auto"/>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邮箱：</w:t>
            </w:r>
            <w:r>
              <w:rPr>
                <w:rFonts w:ascii="宋体" w:hAnsi="宋体" w:eastAsia="宋体" w:cs="Times New Roman"/>
                <w:color w:val="auto"/>
                <w:kern w:val="0"/>
                <w:sz w:val="24"/>
                <w:szCs w:val="24"/>
                <w:highlight w:val="none"/>
                <w:lang w:val="en-US" w:eastAsia="zh-CN" w:bidi="ar-SA"/>
              </w:rPr>
              <w:fldChar w:fldCharType="begin"/>
            </w:r>
            <w:r>
              <w:rPr>
                <w:rFonts w:ascii="宋体" w:hAnsi="宋体" w:eastAsia="宋体" w:cs="Times New Roman"/>
                <w:color w:val="auto"/>
                <w:kern w:val="0"/>
                <w:sz w:val="24"/>
                <w:szCs w:val="24"/>
                <w:highlight w:val="none"/>
                <w:lang w:val="en-US" w:eastAsia="zh-CN" w:bidi="ar-SA"/>
              </w:rPr>
              <w:instrText xml:space="preserve"> HYPERLINK "mailto:huaruichengfs@163.com" </w:instrText>
            </w:r>
            <w:r>
              <w:rPr>
                <w:rFonts w:ascii="宋体" w:hAnsi="宋体" w:eastAsia="宋体" w:cs="Times New Roman"/>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huaruichengfs@163.com</w:t>
            </w:r>
            <w:r>
              <w:rPr>
                <w:rFonts w:hint="eastAsia" w:ascii="宋体" w:hAnsi="宋体" w:eastAsia="宋体" w:cs="宋体"/>
                <w:color w:val="auto"/>
                <w:kern w:val="0"/>
                <w:sz w:val="24"/>
                <w:szCs w:val="24"/>
                <w:highlight w:val="none"/>
                <w:lang w:val="en-US" w:eastAsia="zh-CN" w:bidi="ar-SA"/>
              </w:rPr>
              <w:fldChar w:fldCharType="end"/>
            </w:r>
          </w:p>
        </w:tc>
      </w:tr>
    </w:tbl>
    <w:p w14:paraId="49BC1352">
      <w:pPr>
        <w:widowControl/>
        <w:shd w:val="clear" w:color="auto" w:fill="FFFFFF"/>
        <w:spacing w:before="0" w:beforeAutospacing="0" w:after="0" w:afterAutospacing="0" w:line="360" w:lineRule="auto"/>
        <w:jc w:val="both"/>
        <w:textAlignment w:val="baseline"/>
        <w:rPr>
          <w:rStyle w:val="17"/>
          <w:rFonts w:hint="eastAsia" w:ascii="宋体" w:hAnsi="宋体" w:eastAsia="宋体" w:cs="宋体"/>
          <w:b/>
          <w:bCs w:val="0"/>
          <w:color w:val="auto"/>
          <w:spacing w:val="0"/>
          <w:kern w:val="0"/>
          <w:sz w:val="24"/>
          <w:szCs w:val="24"/>
          <w:highlight w:val="none"/>
          <w:u w:val="none"/>
          <w:shd w:val="clear" w:color="auto" w:fill="FFFFFF"/>
          <w:lang w:val="en-US" w:eastAsia="zh-CN" w:bidi="ar-SA"/>
        </w:rPr>
      </w:pPr>
      <w:r>
        <w:rPr>
          <w:rFonts w:hint="eastAsia" w:ascii="宋体" w:hAnsi="宋体" w:eastAsia="宋体" w:cs="宋体"/>
          <w:b/>
          <w:bCs w:val="0"/>
          <w:color w:val="auto"/>
          <w:kern w:val="0"/>
          <w:sz w:val="24"/>
          <w:szCs w:val="24"/>
          <w:highlight w:val="none"/>
          <w:u w:val="none"/>
          <w:lang w:val="en-US" w:eastAsia="zh-CN" w:bidi="ar-SA"/>
        </w:rPr>
        <w:t>特别说明：本项目不属于政府采购范畴，不属于依法必须招标的范畴。不适用于政府采购的相关法规。</w:t>
      </w:r>
    </w:p>
    <w:p w14:paraId="54966DB5">
      <w:pPr>
        <w:widowControl/>
        <w:shd w:val="clear" w:color="auto" w:fill="FFFFFF"/>
        <w:spacing w:before="0" w:beforeAutospacing="0" w:after="0" w:afterAutospacing="0" w:line="360" w:lineRule="auto"/>
        <w:ind w:firstLine="480"/>
        <w:jc w:val="right"/>
        <w:textAlignment w:val="baseline"/>
        <w:rPr>
          <w:rStyle w:val="17"/>
          <w:rFonts w:hint="eastAsia" w:ascii="宋体" w:hAnsi="宋体" w:eastAsia="宋体" w:cs="宋体"/>
          <w:b w:val="0"/>
          <w:bCs w:val="0"/>
          <w:color w:val="auto"/>
          <w:spacing w:val="0"/>
          <w:kern w:val="0"/>
          <w:sz w:val="24"/>
          <w:szCs w:val="24"/>
          <w:highlight w:val="none"/>
          <w:shd w:val="clear" w:color="auto" w:fill="FFFFFF"/>
          <w:lang w:val="en-US" w:eastAsia="zh-CN" w:bidi="ar-SA"/>
        </w:rPr>
      </w:pPr>
    </w:p>
    <w:p w14:paraId="565A5CF3">
      <w:pPr>
        <w:widowControl/>
        <w:shd w:val="clear" w:color="auto" w:fill="FFFFFF"/>
        <w:spacing w:before="0" w:beforeAutospacing="0" w:after="0" w:afterAutospacing="0" w:line="360" w:lineRule="auto"/>
        <w:ind w:firstLine="480"/>
        <w:jc w:val="right"/>
        <w:textAlignment w:val="baseline"/>
        <w:rPr>
          <w:rFonts w:hint="eastAsia" w:ascii="宋体" w:hAnsi="宋体" w:eastAsia="宋体" w:cs="宋体"/>
          <w:color w:val="auto"/>
          <w:kern w:val="0"/>
          <w:sz w:val="24"/>
          <w:szCs w:val="24"/>
          <w:highlight w:val="none"/>
          <w:lang w:val="en-US" w:eastAsia="zh-CN" w:bidi="ar-SA"/>
        </w:rPr>
      </w:pPr>
      <w:r>
        <w:rPr>
          <w:rStyle w:val="17"/>
          <w:rFonts w:hint="eastAsia" w:ascii="宋体" w:hAnsi="宋体" w:cs="宋体"/>
          <w:b w:val="0"/>
          <w:bCs w:val="0"/>
          <w:color w:val="auto"/>
          <w:spacing w:val="0"/>
          <w:kern w:val="0"/>
          <w:szCs w:val="24"/>
          <w:highlight w:val="none"/>
          <w:shd w:val="clear" w:color="auto" w:fill="FFFFFF"/>
        </w:rPr>
        <w:t>发布人：</w:t>
      </w:r>
      <w:r>
        <w:rPr>
          <w:rFonts w:hint="eastAsia" w:ascii="宋体" w:hAnsi="宋体" w:eastAsia="宋体" w:cs="宋体"/>
          <w:color w:val="auto"/>
          <w:kern w:val="0"/>
          <w:sz w:val="24"/>
          <w:szCs w:val="24"/>
          <w:highlight w:val="none"/>
          <w:lang w:val="en-US" w:eastAsia="zh-CN" w:bidi="ar-SA"/>
        </w:rPr>
        <w:t>华睿诚项目管理有限公司</w:t>
      </w:r>
    </w:p>
    <w:p w14:paraId="475238FC">
      <w:pPr>
        <w:widowControl/>
        <w:shd w:val="clear" w:color="auto" w:fill="FFFFFF"/>
        <w:spacing w:before="0" w:beforeAutospacing="0" w:after="0" w:afterAutospacing="0" w:line="360" w:lineRule="auto"/>
        <w:ind w:firstLine="480"/>
        <w:jc w:val="right"/>
        <w:textAlignment w:val="baseline"/>
        <w:rPr>
          <w:rFonts w:hint="eastAsia" w:ascii="宋体" w:hAnsi="宋体" w:eastAsia="宋体" w:cs="宋体"/>
          <w:color w:val="auto"/>
          <w:kern w:val="0"/>
          <w:sz w:val="24"/>
          <w:szCs w:val="24"/>
          <w:highlight w:val="none"/>
          <w:lang w:val="en-US" w:eastAsia="zh-CN" w:bidi="ar-SA"/>
        </w:rPr>
      </w:pPr>
      <w:r>
        <w:rPr>
          <w:rStyle w:val="17"/>
          <w:rFonts w:hint="eastAsia" w:ascii="宋体" w:hAnsi="宋体" w:cs="宋体"/>
          <w:b w:val="0"/>
          <w:bCs w:val="0"/>
          <w:color w:val="auto"/>
          <w:spacing w:val="0"/>
          <w:kern w:val="0"/>
          <w:szCs w:val="24"/>
          <w:highlight w:val="none"/>
          <w:shd w:val="clear" w:color="auto" w:fill="FFFFFF"/>
        </w:rPr>
        <w:t>发布时间：</w:t>
      </w:r>
      <w:r>
        <w:rPr>
          <w:rFonts w:hint="eastAsia" w:ascii="宋体" w:hAnsi="宋体" w:eastAsia="宋体" w:cs="宋体"/>
          <w:color w:val="auto"/>
          <w:kern w:val="0"/>
          <w:sz w:val="24"/>
          <w:szCs w:val="24"/>
          <w:highlight w:val="none"/>
          <w:shd w:val="clear" w:color="auto" w:fill="FFFFFF"/>
          <w:lang w:val="en-US" w:eastAsia="zh-CN" w:bidi="ar-SA"/>
        </w:rPr>
        <w:t>2024年6月</w:t>
      </w:r>
      <w:r>
        <w:rPr>
          <w:rFonts w:hint="eastAsia" w:ascii="宋体" w:hAnsi="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val="en-US" w:eastAsia="zh-CN" w:bidi="ar-SA"/>
        </w:rPr>
        <w:t>日</w:t>
      </w:r>
    </w:p>
    <w:p w14:paraId="24884DA4">
      <w:pPr>
        <w:widowControl/>
        <w:spacing w:line="360" w:lineRule="auto"/>
        <w:jc w:val="center"/>
        <w:rPr>
          <w:rFonts w:hint="eastAsia" w:ascii="宋体" w:hAnsi="宋体"/>
          <w:color w:val="auto"/>
          <w:sz w:val="32"/>
          <w:highlight w:val="none"/>
        </w:rPr>
      </w:pPr>
      <w:r>
        <w:rPr>
          <w:rFonts w:hint="eastAsia" w:ascii="宋体" w:hAnsi="宋体" w:cs="宋体"/>
          <w:color w:val="auto"/>
          <w:kern w:val="2"/>
          <w:sz w:val="28"/>
          <w:szCs w:val="28"/>
        </w:rPr>
        <w:br w:type="page"/>
      </w:r>
      <w:r>
        <w:rPr>
          <w:rFonts w:hint="eastAsia" w:ascii="宋体" w:hAnsi="宋体" w:eastAsia="宋体" w:cs="宋体"/>
          <w:b/>
          <w:bCs/>
          <w:color w:val="auto"/>
          <w:kern w:val="44"/>
          <w:sz w:val="32"/>
          <w:szCs w:val="44"/>
          <w:highlight w:val="none"/>
          <w:lang w:val="en-US" w:eastAsia="zh-CN" w:bidi="ar-SA"/>
        </w:rPr>
        <w:t>第二部分  采购项目内容</w:t>
      </w:r>
      <w:bookmarkEnd w:id="3"/>
      <w:bookmarkEnd w:id="4"/>
    </w:p>
    <w:p w14:paraId="2A1B0993">
      <w:pPr>
        <w:keepNext/>
        <w:keepLines/>
        <w:widowControl w:val="0"/>
        <w:jc w:val="center"/>
        <w:outlineLvl w:val="1"/>
        <w:rPr>
          <w:rFonts w:hint="eastAsia" w:ascii="Cambria" w:hAnsi="Cambria" w:eastAsia="宋体" w:cs="Times New Roman"/>
          <w:b/>
          <w:bCs/>
          <w:color w:val="auto"/>
          <w:kern w:val="2"/>
          <w:sz w:val="32"/>
          <w:szCs w:val="32"/>
          <w:highlight w:val="none"/>
          <w:lang w:val="en-US" w:eastAsia="zh-CN" w:bidi="ar-SA"/>
        </w:rPr>
      </w:pPr>
      <w:bookmarkStart w:id="5" w:name="_Toc7161"/>
      <w:bookmarkStart w:id="6" w:name="_Toc395019916"/>
      <w:bookmarkStart w:id="7" w:name="_Toc398852257"/>
      <w:bookmarkStart w:id="8" w:name="_Toc395019917"/>
      <w:r>
        <w:rPr>
          <w:rFonts w:hint="eastAsia" w:ascii="Cambria" w:hAnsi="Cambria" w:eastAsia="宋体" w:cs="Times New Roman"/>
          <w:b/>
          <w:bCs/>
          <w:color w:val="auto"/>
          <w:kern w:val="2"/>
          <w:sz w:val="32"/>
          <w:szCs w:val="32"/>
          <w:highlight w:val="none"/>
          <w:lang w:val="en-US" w:eastAsia="zh-CN" w:bidi="ar-SA"/>
        </w:rPr>
        <w:t>一、供应商资格要求</w:t>
      </w:r>
      <w:bookmarkEnd w:id="5"/>
    </w:p>
    <w:p w14:paraId="608FC718">
      <w:pPr>
        <w:widowControl w:val="0"/>
        <w:spacing w:line="360" w:lineRule="auto"/>
        <w:ind w:firstLine="480" w:firstLineChars="200"/>
        <w:jc w:val="both"/>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1．具备以下条件</w:t>
      </w:r>
      <w:r>
        <w:rPr>
          <w:rStyle w:val="17"/>
          <w:rFonts w:hint="eastAsia" w:ascii="宋体" w:hAnsi="宋体" w:cs="宋体"/>
          <w:b w:val="0"/>
          <w:bCs w:val="0"/>
          <w:color w:val="auto"/>
          <w:spacing w:val="0"/>
          <w:kern w:val="2"/>
          <w:szCs w:val="24"/>
          <w:highlight w:val="none"/>
          <w:lang w:val="en-US" w:eastAsia="zh-CN"/>
        </w:rPr>
        <w:t>：</w:t>
      </w:r>
    </w:p>
    <w:p w14:paraId="26EF6D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（1）</w:t>
      </w:r>
      <w:r>
        <w:rPr>
          <w:rStyle w:val="17"/>
          <w:rFonts w:hint="eastAsia" w:ascii="宋体" w:hAnsi="宋体" w:cs="宋体"/>
          <w:b w:val="0"/>
          <w:bCs w:val="0"/>
          <w:color w:val="auto"/>
          <w:spacing w:val="0"/>
          <w:kern w:val="2"/>
          <w:szCs w:val="24"/>
          <w:highlight w:val="none"/>
          <w:lang w:val="en-US" w:eastAsia="zh-CN"/>
        </w:rPr>
        <w:t>具有独立承担民事责任的能力：在中华人民共和国境内注册的法人或其他组织或自然人，投标（响应）时提交有效的营业执照（或事业法人登记证或身份证等相关证明）副本扫描件；</w:t>
      </w:r>
    </w:p>
    <w:p w14:paraId="1294D2B7">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（2）</w:t>
      </w:r>
      <w:r>
        <w:rPr>
          <w:rStyle w:val="17"/>
          <w:rFonts w:hint="eastAsia" w:ascii="宋体" w:hAnsi="宋体" w:cs="宋体"/>
          <w:b w:val="0"/>
          <w:bCs w:val="0"/>
          <w:color w:val="auto"/>
          <w:spacing w:val="0"/>
          <w:kern w:val="2"/>
          <w:szCs w:val="24"/>
          <w:highlight w:val="none"/>
          <w:lang w:val="en-US" w:eastAsia="zh-CN"/>
        </w:rPr>
        <w:t>有依法缴纳税收和社会保障资金的良好记录：提供以下两种证明材料之一：1.提供《资格声明函》，具体要求详见采购公告附件；2.提供投标截止日前6个月内任意1个月依法缴纳税收和社会保障资金的相关材料。如依法免税或不需要缴纳社会保障资金的，提供相应证明材料；</w:t>
      </w:r>
    </w:p>
    <w:p w14:paraId="5CA7B59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（3）</w:t>
      </w:r>
      <w:r>
        <w:rPr>
          <w:rStyle w:val="17"/>
          <w:rFonts w:hint="eastAsia" w:ascii="宋体" w:hAnsi="宋体" w:cs="宋体"/>
          <w:b w:val="0"/>
          <w:bCs w:val="0"/>
          <w:color w:val="auto"/>
          <w:spacing w:val="0"/>
          <w:kern w:val="2"/>
          <w:szCs w:val="24"/>
          <w:highlight w:val="none"/>
          <w:lang w:val="en-US" w:eastAsia="zh-CN"/>
        </w:rPr>
        <w:t>具有良好的商业信誉和健全的财务会计制度：供应商必须具有良好的商业信誉和健全的财务会计制度（提供以下三种证明材料之一：1.提供《资格声明函》，具体要求详见响应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p w14:paraId="1773A06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（4）履行合同所必需的设备和专业技术能力：</w:t>
      </w:r>
      <w:r>
        <w:rPr>
          <w:rStyle w:val="17"/>
          <w:rFonts w:hint="eastAsia" w:ascii="宋体" w:hAnsi="宋体" w:cs="宋体"/>
          <w:b w:val="0"/>
          <w:bCs w:val="0"/>
          <w:color w:val="auto"/>
          <w:spacing w:val="0"/>
          <w:kern w:val="2"/>
          <w:szCs w:val="24"/>
          <w:highlight w:val="none"/>
          <w:lang w:val="en-US" w:eastAsia="zh-CN"/>
        </w:rPr>
        <w:t>提供《资格声明函》</w:t>
      </w:r>
      <w:r>
        <w:rPr>
          <w:rStyle w:val="17"/>
          <w:rFonts w:hint="eastAsia" w:ascii="宋体" w:hAnsi="宋体" w:eastAsia="宋体" w:cs="宋体"/>
          <w:b w:val="0"/>
          <w:bCs w:val="0"/>
          <w:color w:val="auto"/>
          <w:spacing w:val="0"/>
          <w:kern w:val="2"/>
          <w:szCs w:val="24"/>
          <w:highlight w:val="none"/>
          <w:lang w:val="en-US" w:eastAsia="zh-CN"/>
        </w:rPr>
        <w:t>；</w:t>
      </w:r>
    </w:p>
    <w:p w14:paraId="1EDFF977">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（5）</w:t>
      </w:r>
      <w:r>
        <w:rPr>
          <w:rStyle w:val="17"/>
          <w:rFonts w:hint="eastAsia" w:ascii="宋体" w:hAnsi="宋体" w:cs="宋体"/>
          <w:b w:val="0"/>
          <w:bCs w:val="0"/>
          <w:color w:val="auto"/>
          <w:spacing w:val="0"/>
          <w:kern w:val="2"/>
          <w:szCs w:val="24"/>
          <w:highlight w:val="none"/>
          <w:lang w:val="en-US" w:eastAsia="zh-CN"/>
        </w:rPr>
        <w:t>参加投标活动前3年内，在经营活动中没有重大违法记录：提供《资格声明函》。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0F6DE93">
      <w:pPr>
        <w:widowControl w:val="0"/>
        <w:spacing w:line="360" w:lineRule="auto"/>
        <w:ind w:firstLine="480" w:firstLineChars="200"/>
        <w:jc w:val="both"/>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（6）法律、行政法规规定的其他条件。</w:t>
      </w:r>
    </w:p>
    <w:p w14:paraId="4E876B1A">
      <w:pPr>
        <w:keepNext w:val="0"/>
        <w:keepLines w:val="0"/>
        <w:widowControl/>
        <w:numPr>
          <w:ilvl w:val="0"/>
          <w:numId w:val="0"/>
        </w:numPr>
        <w:shd w:val="clear" w:color="auto" w:fill="auto"/>
        <w:spacing w:before="0" w:after="0" w:line="360" w:lineRule="auto"/>
        <w:ind w:right="0" w:rightChars="0" w:firstLine="480" w:firstLineChars="200"/>
        <w:jc w:val="both"/>
        <w:textAlignment w:val="baseline"/>
        <w:rPr>
          <w:rStyle w:val="17"/>
          <w:rFonts w:hint="eastAsia" w:ascii="宋体" w:hAnsi="宋体" w:eastAsia="宋体" w:cs="宋体"/>
          <w:b w:val="0"/>
          <w:bCs w:val="0"/>
          <w:color w:val="auto"/>
          <w:spacing w:val="0"/>
          <w:kern w:val="0"/>
          <w:sz w:val="24"/>
          <w:szCs w:val="24"/>
          <w:highlight w:val="none"/>
          <w:lang w:val="en-US" w:eastAsia="zh-CN" w:bidi="ar-SA"/>
        </w:rPr>
      </w:pPr>
      <w:r>
        <w:rPr>
          <w:rStyle w:val="17"/>
          <w:rFonts w:hint="eastAsia" w:ascii="宋体" w:hAnsi="宋体" w:eastAsia="宋体" w:cs="宋体"/>
          <w:b w:val="0"/>
          <w:bCs w:val="0"/>
          <w:color w:val="auto"/>
          <w:spacing w:val="0"/>
          <w:kern w:val="0"/>
          <w:szCs w:val="24"/>
          <w:highlight w:val="none"/>
          <w:lang w:val="en-US" w:eastAsia="zh-CN"/>
        </w:rPr>
        <w:t>2.供应商未被列入“信用中国”网站(www.creditchina.gov.cr)“记录失信被执行人或重大税收违法失信主体(即原“重大税收违法案件当事人名单”)”记录名单;不处于中国政府采购网(www.ccgp.gov.cn)“政府采购严重违法失信行为信息记录”中的禁止参加政府采购活动期间。(以采购代理机构于投标(响应)截止时间当天在“信用中国”网站(www.cieditchina.gov.cn)及中国政府采购网(http://www.ccgp.gov.cn/)查询结果为准，如相关失信记录已失效供应商需提供相关证明资料)</w:t>
      </w:r>
    </w:p>
    <w:p w14:paraId="62F20689">
      <w:pPr>
        <w:keepNext w:val="0"/>
        <w:keepLines w:val="0"/>
        <w:widowControl/>
        <w:numPr>
          <w:ilvl w:val="0"/>
          <w:numId w:val="0"/>
        </w:numPr>
        <w:shd w:val="clear" w:color="auto" w:fill="auto"/>
        <w:spacing w:before="0" w:after="0" w:line="360" w:lineRule="auto"/>
        <w:ind w:right="0" w:rightChars="0" w:firstLine="480" w:firstLineChars="200"/>
        <w:jc w:val="both"/>
        <w:textAlignment w:val="baseline"/>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3.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3B8C97FD">
      <w:pPr>
        <w:widowControl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供应商须具有公安机关颁发的有效的《保安服务许可证》，若供应商为佛山市外的单位，参与本项目还须承诺：如在本项目中标，在开始提供保安服务之前取得服务所在地设区的市级（或以上）公安机关的备案回执。（响应文件中须提交有效的《保安服务许可证》证书复印件及对本条款内容有效承诺的承诺函&lt;格式自拟&gt;）。</w:t>
      </w:r>
    </w:p>
    <w:p w14:paraId="04EBC79E">
      <w:pPr>
        <w:widowControl w:val="0"/>
        <w:spacing w:line="360" w:lineRule="auto"/>
        <w:ind w:firstLine="480" w:firstLineChars="200"/>
        <w:jc w:val="both"/>
        <w:rPr>
          <w:rFonts w:hint="eastAsia" w:ascii="Times New Roman" w:hAnsi="Times New Roman" w:eastAsia="宋体" w:cs="Times New Roman"/>
          <w:color w:val="auto"/>
          <w:kern w:val="2"/>
          <w:sz w:val="24"/>
          <w:szCs w:val="20"/>
          <w:highlight w:val="none"/>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5.</w:t>
      </w:r>
      <w:r>
        <w:rPr>
          <w:rFonts w:hint="eastAsia" w:ascii="Times New Roman" w:hAnsi="Times New Roman" w:eastAsia="宋体" w:cs="Times New Roman"/>
          <w:color w:val="auto"/>
          <w:kern w:val="2"/>
          <w:sz w:val="24"/>
          <w:szCs w:val="20"/>
          <w:highlight w:val="none"/>
          <w:lang w:val="en-US" w:eastAsia="zh-CN" w:bidi="ar-SA"/>
        </w:rPr>
        <w:t>本项目不接受联合体磋商。</w:t>
      </w:r>
    </w:p>
    <w:p w14:paraId="3C3F718B">
      <w:pPr>
        <w:widowControl w:val="0"/>
        <w:spacing w:line="360" w:lineRule="auto"/>
        <w:ind w:firstLine="480" w:firstLineChars="200"/>
        <w:jc w:val="both"/>
        <w:rPr>
          <w:rFonts w:hint="default" w:ascii="Times New Roman" w:hAnsi="Times New Roman" w:eastAsia="宋体" w:cs="Times New Roman"/>
          <w:kern w:val="2"/>
          <w:sz w:val="24"/>
          <w:szCs w:val="20"/>
          <w:lang w:val="en-US"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6.本采购包专门面向中小企业采购,供应商应为中小微企业（符合要求的供应商须提供《中小企业声明函》）。</w:t>
      </w:r>
      <w:r>
        <w:rPr>
          <w:rStyle w:val="17"/>
          <w:rFonts w:hint="eastAsia" w:ascii="宋体" w:hAnsi="宋体" w:eastAsia="宋体" w:cs="宋体"/>
          <w:b w:val="0"/>
          <w:bCs w:val="0"/>
          <w:color w:val="auto"/>
          <w:spacing w:val="0"/>
          <w:kern w:val="2"/>
          <w:szCs w:val="24"/>
          <w:highlight w:val="none"/>
          <w:lang w:val="en-US" w:eastAsia="zh-CN"/>
        </w:rPr>
        <w:t>本项目采购标对应的中小企业划分标准所属行业：</w:t>
      </w:r>
      <w:r>
        <w:rPr>
          <w:rStyle w:val="17"/>
          <w:rFonts w:hint="eastAsia" w:ascii="宋体" w:hAnsi="宋体" w:cs="宋体"/>
          <w:b w:val="0"/>
          <w:bCs w:val="0"/>
          <w:color w:val="auto"/>
          <w:spacing w:val="0"/>
          <w:kern w:val="2"/>
          <w:szCs w:val="24"/>
          <w:highlight w:val="none"/>
          <w:lang w:val="en-US" w:eastAsia="zh-CN"/>
        </w:rPr>
        <w:t>租赁和商务服务业</w:t>
      </w:r>
      <w:r>
        <w:rPr>
          <w:rStyle w:val="17"/>
          <w:rFonts w:hint="eastAsia" w:ascii="宋体" w:hAnsi="宋体" w:eastAsia="宋体" w:cs="宋体"/>
          <w:b w:val="0"/>
          <w:bCs w:val="0"/>
          <w:color w:val="auto"/>
          <w:spacing w:val="0"/>
          <w:kern w:val="2"/>
          <w:szCs w:val="24"/>
          <w:highlight w:val="none"/>
          <w:lang w:val="en-US" w:eastAsia="zh-CN"/>
        </w:rPr>
        <w:t>。</w:t>
      </w:r>
    </w:p>
    <w:p w14:paraId="19BBE400">
      <w:pPr>
        <w:rPr>
          <w:rFonts w:hint="eastAsia"/>
          <w:color w:val="auto"/>
          <w:highlight w:val="none"/>
        </w:rPr>
      </w:pPr>
    </w:p>
    <w:p w14:paraId="06460A18">
      <w:pPr>
        <w:jc w:val="left"/>
        <w:rPr>
          <w:rFonts w:hint="eastAsia" w:ascii="宋体" w:hAnsi="宋体"/>
          <w:color w:val="auto"/>
          <w:highlight w:val="none"/>
        </w:rPr>
        <w:sectPr>
          <w:footerReference r:id="rId8" w:type="default"/>
          <w:pgSz w:w="11906" w:h="16838"/>
          <w:pgMar w:top="1440" w:right="1286" w:bottom="1440" w:left="1440" w:header="851" w:footer="992" w:gutter="0"/>
          <w:pgNumType w:start="1"/>
          <w:cols w:space="720" w:num="1"/>
          <w:docGrid w:type="lines" w:linePitch="312" w:charSpace="0"/>
        </w:sectPr>
      </w:pPr>
      <w:r>
        <w:rPr>
          <w:rFonts w:hint="eastAsia" w:ascii="宋体" w:hAnsi="宋体"/>
          <w:color w:val="auto"/>
          <w:highlight w:val="none"/>
        </w:rPr>
        <w:br w:type="textWrapping"/>
      </w:r>
    </w:p>
    <w:p w14:paraId="50C61D5C">
      <w:pPr>
        <w:jc w:val="left"/>
        <w:rPr>
          <w:rFonts w:hint="eastAsia" w:ascii="宋体" w:hAnsi="宋体"/>
          <w:color w:val="auto"/>
          <w:highlight w:val="none"/>
        </w:rPr>
        <w:sectPr>
          <w:type w:val="continuous"/>
          <w:pgSz w:w="11906" w:h="16838"/>
          <w:pgMar w:top="1440" w:right="1286" w:bottom="1440" w:left="1440" w:header="851" w:footer="992" w:gutter="0"/>
          <w:cols w:space="720" w:num="1"/>
          <w:docGrid w:type="lines" w:linePitch="312" w:charSpace="0"/>
        </w:sectPr>
      </w:pPr>
      <w:r>
        <w:rPr>
          <w:rFonts w:hint="eastAsia" w:ascii="宋体" w:hAnsi="宋体"/>
          <w:color w:val="auto"/>
          <w:highlight w:val="none"/>
        </w:rPr>
        <w:br w:type="textWrapping"/>
      </w:r>
    </w:p>
    <w:p w14:paraId="72AF8CF6">
      <w:pPr>
        <w:snapToGrid w:val="0"/>
        <w:spacing w:line="360" w:lineRule="auto"/>
        <w:jc w:val="center"/>
        <w:rPr>
          <w:rFonts w:hint="default" w:ascii="Cambria" w:hAnsi="Cambria" w:eastAsia="宋体"/>
          <w:b/>
          <w:bCs/>
          <w:color w:val="auto"/>
          <w:sz w:val="32"/>
          <w:szCs w:val="32"/>
          <w:highlight w:val="none"/>
          <w:lang w:val="en-US" w:eastAsia="zh-CN"/>
        </w:rPr>
      </w:pPr>
      <w:r>
        <w:rPr>
          <w:rFonts w:hint="eastAsia" w:ascii="Cambria" w:hAnsi="Cambria"/>
          <w:b/>
          <w:bCs/>
          <w:color w:val="auto"/>
          <w:sz w:val="32"/>
          <w:szCs w:val="32"/>
          <w:highlight w:val="none"/>
        </w:rPr>
        <w:t>二、</w:t>
      </w:r>
      <w:r>
        <w:rPr>
          <w:rFonts w:hint="eastAsia" w:ascii="Cambria" w:hAnsi="Cambria"/>
          <w:b/>
          <w:bCs/>
          <w:color w:val="auto"/>
          <w:sz w:val="32"/>
          <w:szCs w:val="32"/>
          <w:highlight w:val="none"/>
          <w:lang w:val="en-US" w:eastAsia="zh-CN"/>
        </w:rPr>
        <w:t>采购项目技术要求</w:t>
      </w:r>
    </w:p>
    <w:bookmarkEnd w:id="6"/>
    <w:bookmarkEnd w:id="7"/>
    <w:bookmarkEnd w:id="8"/>
    <w:p w14:paraId="6404E88B">
      <w:pPr>
        <w:numPr>
          <w:ilvl w:val="0"/>
          <w:numId w:val="0"/>
        </w:numPr>
        <w:tabs>
          <w:tab w:val="left" w:pos="142"/>
        </w:tabs>
        <w:spacing w:line="360" w:lineRule="auto"/>
        <w:rPr>
          <w:rFonts w:ascii="宋体" w:hAnsi="宋体" w:cs="Courier New"/>
          <w:b/>
          <w:sz w:val="24"/>
          <w:highlight w:val="none"/>
        </w:rPr>
      </w:pPr>
      <w:r>
        <w:rPr>
          <w:rFonts w:hint="eastAsia" w:ascii="宋体" w:hAnsi="宋体" w:cs="Courier New"/>
          <w:b/>
          <w:sz w:val="24"/>
          <w:highlight w:val="none"/>
          <w:lang w:val="en-US" w:eastAsia="zh-CN"/>
        </w:rPr>
        <w:t>1.项目基本情况</w:t>
      </w:r>
    </w:p>
    <w:p w14:paraId="1A1A0127">
      <w:pPr>
        <w:widowControl w:val="0"/>
        <w:spacing w:line="360" w:lineRule="auto"/>
        <w:ind w:left="0" w:leftChars="0" w:right="-10" w:rightChars="0" w:firstLine="480" w:firstLineChars="200"/>
        <w:jc w:val="both"/>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highlight w:val="none"/>
          <w:lang w:val="en-US" w:eastAsia="zh-CN" w:bidi="ar-SA"/>
        </w:rPr>
        <w:t>本项目为采购人择优确定有相应能力的保安管理服务企业，为</w:t>
      </w:r>
      <w:r>
        <w:rPr>
          <w:rFonts w:hint="eastAsia" w:ascii="宋体" w:hAnsi="宋体" w:eastAsia="宋体" w:cs="宋体"/>
          <w:color w:val="auto"/>
          <w:kern w:val="2"/>
          <w:sz w:val="24"/>
          <w:szCs w:val="24"/>
          <w:highlight w:val="none"/>
          <w:shd w:val="clear" w:color="auto" w:fill="FFFFFF"/>
          <w:lang w:val="en-US" w:eastAsia="zh-CN" w:bidi="ar"/>
        </w:rPr>
        <w:t>佛山市养老养生健康产业园项目提供保安服务。</w:t>
      </w:r>
    </w:p>
    <w:p w14:paraId="65D9C72A">
      <w:pPr>
        <w:numPr>
          <w:ilvl w:val="0"/>
          <w:numId w:val="0"/>
        </w:numPr>
        <w:tabs>
          <w:tab w:val="left" w:pos="142"/>
        </w:tabs>
        <w:spacing w:line="360" w:lineRule="auto"/>
        <w:rPr>
          <w:rFonts w:ascii="宋体" w:hAnsi="宋体" w:cs="Courier New"/>
          <w:b/>
          <w:sz w:val="24"/>
          <w:highlight w:val="none"/>
        </w:rPr>
      </w:pPr>
      <w:r>
        <w:rPr>
          <w:rFonts w:hint="eastAsia" w:ascii="宋体" w:hAnsi="宋体" w:cs="Courier New"/>
          <w:b/>
          <w:sz w:val="24"/>
          <w:highlight w:val="none"/>
          <w:lang w:val="en-US" w:eastAsia="zh-CN"/>
        </w:rPr>
        <w:t>2.</w:t>
      </w:r>
      <w:r>
        <w:rPr>
          <w:rFonts w:hint="eastAsia" w:ascii="宋体" w:hAnsi="宋体" w:cs="Courier New"/>
          <w:b/>
          <w:sz w:val="24"/>
          <w:highlight w:val="none"/>
        </w:rPr>
        <w:t>服务内容</w:t>
      </w:r>
    </w:p>
    <w:p w14:paraId="4FC0F2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本项目位于佛罗公路，禅城区中山公园以西，佛山市化纤集团以东，汾江河以北，铁路以南片区，共设4个岗位，每个岗位安排3名保安人员，补休人员3名，共计保安人数15名，全年每天24小时，采用三班制，负责佛山市养老养生健康产业园项目改造区域内的安保工作及高峰时段车辆指引等秩序维护工作。如遇突发事件，安保人员应将及时到场处理，确保安保工程顺利开展。</w:t>
      </w:r>
    </w:p>
    <w:p w14:paraId="6612B6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保安人员岗位设置、具体人数根据动迁实际需要进行增减，采购人如需岗位增(减)人员，应经与成交供应商双方协商后以书面形式确定。</w:t>
      </w:r>
    </w:p>
    <w:p w14:paraId="321DED06">
      <w:pPr>
        <w:numPr>
          <w:ilvl w:val="0"/>
          <w:numId w:val="0"/>
        </w:numPr>
        <w:tabs>
          <w:tab w:val="left" w:pos="142"/>
        </w:tabs>
        <w:spacing w:line="360" w:lineRule="auto"/>
        <w:rPr>
          <w:rFonts w:hint="eastAsia" w:ascii="宋体" w:hAnsi="宋体" w:cs="Courier New"/>
          <w:b/>
          <w:sz w:val="24"/>
          <w:highlight w:val="none"/>
          <w:lang w:val="en-US" w:eastAsia="zh-CN"/>
        </w:rPr>
      </w:pPr>
      <w:r>
        <w:rPr>
          <w:rFonts w:hint="eastAsia" w:ascii="宋体" w:hAnsi="宋体" w:cs="Courier New"/>
          <w:b/>
          <w:sz w:val="24"/>
          <w:highlight w:val="none"/>
          <w:lang w:val="en-US" w:eastAsia="zh-CN"/>
        </w:rPr>
        <w:t>3.保安服务的主要职责</w:t>
      </w:r>
    </w:p>
    <w:p w14:paraId="64D9CB02">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全面负</w:t>
      </w:r>
      <w:r>
        <w:rPr>
          <w:rFonts w:hint="eastAsia" w:ascii="Times New Roman" w:hAnsi="Times New Roman" w:eastAsia="宋体" w:cs="Times New Roman"/>
          <w:kern w:val="2"/>
          <w:sz w:val="24"/>
          <w:szCs w:val="22"/>
          <w:highlight w:val="none"/>
          <w:lang w:val="en-US" w:eastAsia="zh-CN" w:bidi="ar-SA"/>
        </w:rPr>
        <w:t>责</w:t>
      </w:r>
      <w:r>
        <w:rPr>
          <w:rFonts w:hint="default" w:ascii="Times New Roman" w:hAnsi="Times New Roman" w:eastAsia="宋体" w:cs="Times New Roman"/>
          <w:kern w:val="2"/>
          <w:sz w:val="24"/>
          <w:szCs w:val="22"/>
          <w:highlight w:val="none"/>
          <w:lang w:val="en-US" w:eastAsia="zh-CN" w:bidi="ar-SA"/>
        </w:rPr>
        <w:t>采购人辖区反恐维稳、安全保卫、治安管理，以及消防、抢险、防盗、巡逻、执勤工作，及时发现和消除治安和消防隐患;</w:t>
      </w:r>
    </w:p>
    <w:p w14:paraId="09AB43FE">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在采购人指定人员的组织和领导下，积极做好职责内的各项工作，主动与采购人指定人员、所属派出所等单位沟通汇报;</w:t>
      </w:r>
    </w:p>
    <w:p w14:paraId="1B623910">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配合采购人指定人员工作，积极有序的对过往车辆及人员进行管理，及时处理该项目内各类纠纷，迅速且正确地处理各类突发事件，避免事态恶化，确保项目安全运行;</w:t>
      </w:r>
    </w:p>
    <w:p w14:paraId="3DF51001">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随时出勤，为项目辖区内人员提供紧应急处突、急救助服务;</w:t>
      </w:r>
    </w:p>
    <w:p w14:paraId="29FCDAA3">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配合公安机关，反恐维稳和打击该项目辖区内与周边的违法犯罪活动。</w:t>
      </w:r>
    </w:p>
    <w:p w14:paraId="794AF8C0">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Courier New"/>
          <w:b/>
          <w:kern w:val="2"/>
          <w:sz w:val="24"/>
          <w:szCs w:val="22"/>
          <w:highlight w:val="none"/>
          <w:lang w:val="en-US" w:eastAsia="zh-CN" w:bidi="ar-SA"/>
        </w:rPr>
      </w:pPr>
      <w:r>
        <w:rPr>
          <w:rFonts w:hint="eastAsia" w:ascii="宋体" w:hAnsi="宋体" w:eastAsia="宋体" w:cs="Courier New"/>
          <w:b/>
          <w:kern w:val="2"/>
          <w:sz w:val="24"/>
          <w:szCs w:val="22"/>
          <w:highlight w:val="none"/>
          <w:lang w:val="en-US" w:eastAsia="zh-CN" w:bidi="ar-SA"/>
        </w:rPr>
        <w:t>4.保安人员要求</w:t>
      </w:r>
    </w:p>
    <w:p w14:paraId="311983CC">
      <w:pPr>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保安人员要求</w:t>
      </w:r>
    </w:p>
    <w:p w14:paraId="0DCF75E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1）成交供应商</w:t>
      </w:r>
      <w:r>
        <w:rPr>
          <w:rFonts w:hint="default" w:ascii="Times New Roman" w:hAnsi="Times New Roman" w:eastAsia="宋体" w:cs="Times New Roman"/>
          <w:kern w:val="2"/>
          <w:sz w:val="24"/>
          <w:szCs w:val="22"/>
          <w:highlight w:val="none"/>
          <w:lang w:val="en-US" w:eastAsia="zh-CN" w:bidi="ar-SA"/>
        </w:rPr>
        <w:t>聘用的保安人员应知法，懂法，守法，依法办事，须严格遵守保安从业规范，遵守采购人安全管理规定;</w:t>
      </w:r>
    </w:p>
    <w:p w14:paraId="08D506F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保安服务项目经理要求:</w:t>
      </w:r>
    </w:p>
    <w:p w14:paraId="0595138F">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男性，大专以上文化，年满18周岁以上，40周岁以下的中国公民，具有较高的政治思想素养和业务水平，有较强的组织协调能力，受过专门的保安业务培训，获得相关从业资格证书。</w:t>
      </w:r>
    </w:p>
    <w:p w14:paraId="78375AE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保安人员要求:</w:t>
      </w:r>
    </w:p>
    <w:p w14:paraId="60A1A96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①男性，高中毕业以上文化程度,年满 18 周岁以上,40 周岁以下的中国公民。身高 1.65米以上，五官端庄、视(裸)力1.0以上;身体健康、体貌端正、行为正常，没有传</w:t>
      </w:r>
      <w:r>
        <w:rPr>
          <w:rFonts w:hint="default" w:ascii="Times New Roman" w:hAnsi="Times New Roman" w:eastAsia="宋体" w:cs="Times New Roman"/>
          <w:b w:val="0"/>
          <w:bCs w:val="0"/>
          <w:kern w:val="2"/>
          <w:sz w:val="24"/>
          <w:szCs w:val="22"/>
          <w:highlight w:val="none"/>
          <w:lang w:val="en-US" w:eastAsia="zh-CN" w:bidi="ar-SA"/>
        </w:rPr>
        <w:t>染病和其</w:t>
      </w:r>
      <w:r>
        <w:rPr>
          <w:rFonts w:hint="default" w:ascii="宋体" w:hAnsi="宋体" w:eastAsia="宋体" w:cs="Courier New"/>
          <w:b w:val="0"/>
          <w:bCs w:val="0"/>
          <w:kern w:val="2"/>
          <w:sz w:val="24"/>
          <w:szCs w:val="22"/>
          <w:highlight w:val="none"/>
          <w:lang w:val="en-US" w:eastAsia="zh-CN" w:bidi="ar-SA"/>
        </w:rPr>
        <w:t>他恶</w:t>
      </w:r>
      <w:r>
        <w:rPr>
          <w:rFonts w:hint="default" w:ascii="Times New Roman" w:hAnsi="Times New Roman" w:eastAsia="宋体" w:cs="Times New Roman"/>
          <w:b w:val="0"/>
          <w:bCs w:val="0"/>
          <w:kern w:val="2"/>
          <w:sz w:val="24"/>
          <w:szCs w:val="22"/>
          <w:highlight w:val="none"/>
          <w:lang w:val="en-US" w:eastAsia="zh-CN" w:bidi="ar-SA"/>
        </w:rPr>
        <w:t>性疾病;杜绝有精神病及病史、有重大疾病病史、弱智及智力低下的人员进入保安队</w:t>
      </w:r>
      <w:r>
        <w:rPr>
          <w:rFonts w:hint="default" w:ascii="Times New Roman" w:hAnsi="Times New Roman" w:eastAsia="宋体" w:cs="Times New Roman"/>
          <w:kern w:val="2"/>
          <w:sz w:val="24"/>
          <w:szCs w:val="22"/>
          <w:highlight w:val="none"/>
          <w:lang w:val="en-US" w:eastAsia="zh-CN" w:bidi="ar-SA"/>
        </w:rPr>
        <w:t>伍(签订合同时，采购人有权要求中标人提供三甲医院的体检证明材料)。</w:t>
      </w:r>
    </w:p>
    <w:p w14:paraId="45079C2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②经审查证明，没有犯罪记录和其他不良嗜好、行为(如酗酒、赌博、吸毒等)。具体人员须经采购人指定管理部门确认，方可派遣。</w:t>
      </w:r>
    </w:p>
    <w:p w14:paraId="28E7538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③保安员须熟悉相关的保安业务管理知识。</w:t>
      </w:r>
    </w:p>
    <w:p w14:paraId="42EDA22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所聘用的保安人员应有吃苦耐劳的精神和高度的责任感，熟知项目内的管理规定严格履行岗位职责，善于发现各类问题，具备一定的管理经验和处理突发事件能力。</w:t>
      </w:r>
    </w:p>
    <w:p w14:paraId="75F3373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保安服务项目经理要加强对保安业务的管理，确保保安在该项目区内无违规和违法事件发生。不按以上要求执行，导致严重后果，由中标人负全责。</w:t>
      </w:r>
    </w:p>
    <w:p w14:paraId="01585F43">
      <w:pPr>
        <w:numPr>
          <w:ilvl w:val="0"/>
          <w:numId w:val="0"/>
        </w:numPr>
        <w:tabs>
          <w:tab w:val="left" w:pos="142"/>
        </w:tabs>
        <w:spacing w:line="360" w:lineRule="auto"/>
        <w:rPr>
          <w:rFonts w:hint="eastAsia" w:ascii="宋体" w:hAnsi="宋体" w:cs="Courier New"/>
          <w:b/>
          <w:sz w:val="24"/>
          <w:highlight w:val="none"/>
          <w:lang w:val="en-US" w:eastAsia="zh-CN"/>
        </w:rPr>
      </w:pPr>
      <w:r>
        <w:rPr>
          <w:rFonts w:hint="eastAsia" w:ascii="宋体" w:hAnsi="宋体" w:cs="Courier New"/>
          <w:b/>
          <w:sz w:val="24"/>
          <w:highlight w:val="none"/>
          <w:lang w:val="en-US" w:eastAsia="zh-CN"/>
        </w:rPr>
        <w:t>5.服务要求</w:t>
      </w:r>
    </w:p>
    <w:p w14:paraId="06FD2206">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树立“服务第一，业主至上”的思想，切实维护该项目区内人员的人身和财产安全</w:t>
      </w:r>
      <w:r>
        <w:rPr>
          <w:rFonts w:hint="eastAsia" w:ascii="Times New Roman" w:hAnsi="Times New Roman" w:eastAsia="宋体" w:cs="Times New Roman"/>
          <w:kern w:val="2"/>
          <w:sz w:val="24"/>
          <w:szCs w:val="22"/>
          <w:highlight w:val="none"/>
          <w:lang w:val="en-US" w:eastAsia="zh-CN" w:bidi="ar-SA"/>
        </w:rPr>
        <w:t>；</w:t>
      </w:r>
    </w:p>
    <w:p w14:paraId="493BAB51">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管理坚持原则、严密谨慎;服务以人为本、主动热情;处理问题高度</w:t>
      </w:r>
      <w:r>
        <w:rPr>
          <w:rFonts w:hint="eastAsia" w:ascii="Times New Roman" w:hAnsi="Times New Roman" w:eastAsia="宋体" w:cs="Times New Roman"/>
          <w:kern w:val="2"/>
          <w:sz w:val="24"/>
          <w:szCs w:val="22"/>
          <w:highlight w:val="none"/>
          <w:lang w:val="en-US" w:eastAsia="zh-CN" w:bidi="ar-SA"/>
        </w:rPr>
        <w:t>警惕</w:t>
      </w:r>
      <w:r>
        <w:rPr>
          <w:rFonts w:hint="default" w:ascii="Times New Roman" w:hAnsi="Times New Roman" w:eastAsia="宋体" w:cs="Times New Roman"/>
          <w:kern w:val="2"/>
          <w:sz w:val="24"/>
          <w:szCs w:val="22"/>
          <w:highlight w:val="none"/>
          <w:lang w:val="en-US" w:eastAsia="zh-CN" w:bidi="ar-SA"/>
        </w:rPr>
        <w:t>、有理有节;</w:t>
      </w:r>
    </w:p>
    <w:p w14:paraId="5056516B">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上岗人员</w:t>
      </w:r>
      <w:r>
        <w:rPr>
          <w:rFonts w:hint="eastAsia" w:ascii="Times New Roman" w:hAnsi="Times New Roman" w:eastAsia="宋体" w:cs="Times New Roman"/>
          <w:kern w:val="2"/>
          <w:sz w:val="24"/>
          <w:szCs w:val="22"/>
          <w:highlight w:val="none"/>
          <w:lang w:val="en-US" w:eastAsia="zh-CN" w:bidi="ar-SA"/>
        </w:rPr>
        <w:t>需统一服装，服务期间须无条件按照采购人要求配备相关安保设备，</w:t>
      </w:r>
      <w:r>
        <w:rPr>
          <w:rFonts w:hint="default" w:ascii="Times New Roman" w:hAnsi="Times New Roman" w:eastAsia="宋体" w:cs="Times New Roman"/>
          <w:kern w:val="2"/>
          <w:sz w:val="24"/>
          <w:szCs w:val="22"/>
          <w:highlight w:val="none"/>
          <w:lang w:val="en-US" w:eastAsia="zh-CN" w:bidi="ar-SA"/>
        </w:rPr>
        <w:t>准时上(下)班，业务操作规范，礼貌待人，并做好上下班交接记录，保持岗位卫生整洁;</w:t>
      </w:r>
    </w:p>
    <w:p w14:paraId="3FC49177">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注意形象，依法办事，文明执勤，不与项目内人员发生争吵，杜绝保安与项目内人员发生冲突，禁止保安出手伤及人员人身安全;</w:t>
      </w:r>
    </w:p>
    <w:p w14:paraId="492C82B0">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严格按照采购人指定人员的指令执行。</w:t>
      </w:r>
    </w:p>
    <w:p w14:paraId="4F6273C6">
      <w:pPr>
        <w:widowControl w:val="0"/>
        <w:snapToGrid w:val="0"/>
        <w:jc w:val="left"/>
        <w:rPr>
          <w:rFonts w:hint="default" w:ascii="宋体" w:hAnsi="宋体" w:eastAsia="宋体" w:cs="Times New Roman"/>
          <w:kern w:val="0"/>
          <w:sz w:val="28"/>
          <w:szCs w:val="22"/>
          <w:lang w:val="en-US" w:eastAsia="zh-CN" w:bidi="ar-SA"/>
        </w:rPr>
      </w:pPr>
    </w:p>
    <w:p w14:paraId="472CB2D1">
      <w:pPr>
        <w:widowControl w:val="0"/>
        <w:spacing w:after="120" w:line="360" w:lineRule="auto"/>
        <w:ind w:left="0" w:leftChars="0" w:firstLine="0" w:firstLineChars="0"/>
        <w:jc w:val="both"/>
        <w:rPr>
          <w:rFonts w:hint="default" w:ascii="Times New Roman" w:hAnsi="Times New Roman" w:eastAsia="宋体" w:cs="Times New Roman"/>
          <w:kern w:val="2"/>
          <w:sz w:val="24"/>
          <w:szCs w:val="22"/>
          <w:highlight w:val="none"/>
          <w:lang w:val="en-US" w:eastAsia="zh-CN" w:bidi="ar-SA"/>
        </w:rPr>
      </w:pPr>
    </w:p>
    <w:p w14:paraId="6EA7DB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Cs w:val="24"/>
          <w:highlight w:val="none"/>
        </w:rPr>
      </w:pPr>
      <w:r>
        <w:rPr>
          <w:rFonts w:hint="eastAsia" w:ascii="Times New Roman" w:hAnsi="Times New Roman" w:eastAsia="宋体" w:cs="Times New Roman"/>
          <w:kern w:val="2"/>
          <w:sz w:val="24"/>
          <w:szCs w:val="22"/>
          <w:highlight w:val="none"/>
          <w:lang w:val="en-US" w:eastAsia="zh-CN" w:bidi="ar-SA"/>
        </w:rPr>
        <w:br w:type="page"/>
      </w:r>
      <w:r>
        <w:rPr>
          <w:rFonts w:hint="eastAsia" w:ascii="Cambria" w:hAnsi="Cambria" w:eastAsia="宋体" w:cs="Times New Roman"/>
          <w:b/>
          <w:bCs/>
          <w:color w:val="auto"/>
          <w:sz w:val="32"/>
          <w:szCs w:val="32"/>
          <w:highlight w:val="none"/>
          <w:lang w:val="en-US" w:eastAsia="zh-CN"/>
        </w:rPr>
        <w:t>三、采购项目商务要求</w:t>
      </w:r>
    </w:p>
    <w:p w14:paraId="7A1C6A30">
      <w:pPr>
        <w:numPr>
          <w:ilvl w:val="0"/>
          <w:numId w:val="0"/>
        </w:numPr>
        <w:tabs>
          <w:tab w:val="left" w:pos="142"/>
        </w:tabs>
        <w:spacing w:line="360" w:lineRule="auto"/>
        <w:rPr>
          <w:rFonts w:hint="default" w:ascii="宋体" w:hAnsi="宋体" w:cs="Courier New"/>
          <w:b/>
          <w:sz w:val="24"/>
          <w:highlight w:val="none"/>
          <w:lang w:val="en-US"/>
        </w:rPr>
      </w:pPr>
      <w:bookmarkStart w:id="9" w:name="_Toc8245"/>
      <w:bookmarkStart w:id="10" w:name="_Toc17489"/>
      <w:r>
        <w:rPr>
          <w:rFonts w:hint="eastAsia" w:ascii="宋体" w:hAnsi="宋体" w:cs="Courier New"/>
          <w:b/>
          <w:sz w:val="24"/>
          <w:highlight w:val="none"/>
          <w:lang w:val="en-US" w:eastAsia="zh-CN"/>
        </w:rPr>
        <w:t>1.投标限价</w:t>
      </w:r>
    </w:p>
    <w:p w14:paraId="40CE2D16">
      <w:pPr>
        <w:widowControl w:val="0"/>
        <w:spacing w:after="120" w:line="360" w:lineRule="auto"/>
        <w:ind w:firstLine="480" w:firstLineChars="200"/>
        <w:jc w:val="both"/>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每个保安员每月工资最高投标限价为人民币3,800.00元(报价以“元”为单位，精确到小数点后两位，第三位小数四舍五入)。供应商的投标报价不得超过最高投标限价，否则视为无效投标。</w:t>
      </w:r>
    </w:p>
    <w:p w14:paraId="5D086B9E">
      <w:pPr>
        <w:numPr>
          <w:ilvl w:val="0"/>
          <w:numId w:val="0"/>
        </w:numPr>
        <w:tabs>
          <w:tab w:val="left" w:pos="142"/>
        </w:tabs>
        <w:spacing w:line="360" w:lineRule="auto"/>
        <w:rPr>
          <w:rFonts w:hint="default" w:ascii="宋体" w:hAnsi="宋体" w:cs="Courier New"/>
          <w:b/>
          <w:sz w:val="24"/>
          <w:highlight w:val="none"/>
          <w:lang w:val="en-US"/>
        </w:rPr>
      </w:pPr>
      <w:r>
        <w:rPr>
          <w:rFonts w:hint="eastAsia" w:ascii="宋体" w:hAnsi="宋体" w:cs="Courier New"/>
          <w:b/>
          <w:sz w:val="24"/>
          <w:highlight w:val="none"/>
          <w:lang w:val="en-US" w:eastAsia="zh-CN"/>
        </w:rPr>
        <w:t>2.报价要求</w:t>
      </w:r>
    </w:p>
    <w:p w14:paraId="160D05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（1）报价中必须包含保安员基本工资、补贴费用等国家规定的相关福利和补贴、社会劳动保险、考核奖励金、从事保安工作所需器备、成交供应商的运营费用以及合同实施过程中的应预见和不可预见费用等;</w:t>
      </w:r>
    </w:p>
    <w:p w14:paraId="48A7BC7C">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（2）除基本工资外有关补贴包括非工作日和工作日晚餐餐费:节假日(以国务院公布为准)补贴费等国家规定的相关福利和补贴;但不包括法定节假日加班费、超时加班费:</w:t>
      </w:r>
    </w:p>
    <w:p w14:paraId="19EA7AE5">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（3）成交供应商必须按照《劳动合同法》的规定与保安人员建立劳动关系，按国家规定为保安员购买社会劳动保险(养老、失业、工伤、医疗和生育保险)，各险种的标准按照佛山市地区社会保险费征收标准缴纳。</w:t>
      </w:r>
    </w:p>
    <w:p w14:paraId="5BBA6B94">
      <w:pPr>
        <w:numPr>
          <w:ilvl w:val="0"/>
          <w:numId w:val="0"/>
        </w:numPr>
        <w:tabs>
          <w:tab w:val="left" w:pos="142"/>
        </w:tabs>
        <w:spacing w:line="360" w:lineRule="auto"/>
        <w:rPr>
          <w:rFonts w:hint="eastAsia" w:ascii="宋体" w:hAnsi="宋体" w:eastAsia="宋体" w:cs="Courier New"/>
          <w:b/>
          <w:sz w:val="24"/>
          <w:highlight w:val="none"/>
          <w:lang w:val="en-US" w:eastAsia="zh-CN"/>
        </w:rPr>
      </w:pPr>
      <w:r>
        <w:rPr>
          <w:rFonts w:hint="eastAsia" w:ascii="宋体" w:hAnsi="宋体" w:eastAsia="宋体" w:cs="Courier New"/>
          <w:b/>
          <w:sz w:val="24"/>
          <w:highlight w:val="none"/>
          <w:lang w:val="en-US" w:eastAsia="zh-CN"/>
        </w:rPr>
        <w:t>3、服务地点</w:t>
      </w:r>
    </w:p>
    <w:p w14:paraId="6FB5159E">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采购人(用户)指定地点。</w:t>
      </w:r>
    </w:p>
    <w:p w14:paraId="22F38CE7">
      <w:pPr>
        <w:numPr>
          <w:ilvl w:val="0"/>
          <w:numId w:val="0"/>
        </w:numPr>
        <w:tabs>
          <w:tab w:val="left" w:pos="142"/>
        </w:tabs>
        <w:spacing w:line="360" w:lineRule="auto"/>
        <w:rPr>
          <w:rFonts w:hint="eastAsia" w:ascii="宋体" w:hAnsi="宋体" w:eastAsia="宋体" w:cs="Courier New"/>
          <w:b/>
          <w:sz w:val="24"/>
          <w:highlight w:val="none"/>
          <w:lang w:val="en-US" w:eastAsia="zh-CN"/>
        </w:rPr>
      </w:pPr>
      <w:r>
        <w:rPr>
          <w:rFonts w:hint="eastAsia" w:ascii="宋体" w:hAnsi="宋体" w:eastAsia="宋体" w:cs="Courier New"/>
          <w:b/>
          <w:sz w:val="24"/>
          <w:highlight w:val="none"/>
          <w:lang w:val="en-US" w:eastAsia="zh-CN"/>
        </w:rPr>
        <w:t>4项目服务期</w:t>
      </w:r>
    </w:p>
    <w:p w14:paraId="2738ACD5">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自合同签订生效之日起 12个月。</w:t>
      </w:r>
    </w:p>
    <w:p w14:paraId="458FD325">
      <w:pPr>
        <w:numPr>
          <w:ilvl w:val="0"/>
          <w:numId w:val="0"/>
        </w:numPr>
        <w:tabs>
          <w:tab w:val="left" w:pos="142"/>
        </w:tabs>
        <w:spacing w:line="360" w:lineRule="auto"/>
        <w:rPr>
          <w:rFonts w:hint="eastAsia" w:ascii="宋体" w:hAnsi="宋体" w:eastAsia="宋体" w:cs="Courier New"/>
          <w:b/>
          <w:sz w:val="24"/>
          <w:highlight w:val="none"/>
          <w:lang w:val="en-US" w:eastAsia="zh-CN"/>
        </w:rPr>
      </w:pPr>
      <w:r>
        <w:rPr>
          <w:rFonts w:hint="eastAsia" w:ascii="宋体" w:hAnsi="宋体" w:eastAsia="宋体" w:cs="Courier New"/>
          <w:b/>
          <w:sz w:val="24"/>
          <w:highlight w:val="none"/>
          <w:lang w:val="en-US" w:eastAsia="zh-CN"/>
        </w:rPr>
        <w:t>5、付款方式</w:t>
      </w:r>
    </w:p>
    <w:p w14:paraId="3D6CD0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由采购人在每月的10号前支付上一个月的服务费用。</w:t>
      </w:r>
    </w:p>
    <w:p w14:paraId="61FD19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每月支付服务费用=每月实际到岗人数×中标单价-考核扣罚（如有），成交供应商应于当月开具增值税普通发票给采购人。</w:t>
      </w:r>
    </w:p>
    <w:p w14:paraId="240A9639">
      <w:pPr>
        <w:numPr>
          <w:ilvl w:val="0"/>
          <w:numId w:val="2"/>
        </w:numPr>
        <w:tabs>
          <w:tab w:val="left" w:pos="142"/>
        </w:tabs>
        <w:spacing w:line="360" w:lineRule="auto"/>
        <w:rPr>
          <w:rFonts w:hint="eastAsia" w:ascii="宋体" w:hAnsi="宋体" w:eastAsia="宋体" w:cs="Courier New"/>
          <w:b/>
          <w:sz w:val="24"/>
          <w:highlight w:val="none"/>
          <w:lang w:val="en-US" w:eastAsia="zh-CN"/>
        </w:rPr>
      </w:pPr>
      <w:r>
        <w:rPr>
          <w:rFonts w:hint="eastAsia" w:ascii="宋体" w:hAnsi="宋体" w:eastAsia="宋体" w:cs="Courier New"/>
          <w:b/>
          <w:sz w:val="24"/>
          <w:highlight w:val="none"/>
          <w:lang w:val="en-US" w:eastAsia="zh-CN"/>
        </w:rPr>
        <w:t>付款要求</w:t>
      </w:r>
    </w:p>
    <w:p w14:paraId="37B662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（1）成交供应商应向采购人提供依法纳税的发票。  </w:t>
      </w:r>
    </w:p>
    <w:p w14:paraId="7C1D17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（2）合同款以转账方式转入成交供应商的银行账户。   </w:t>
      </w:r>
    </w:p>
    <w:p w14:paraId="08B26C4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（3）收款方、出具发票方、合同乙方均需与成交供应商名称一致。  </w:t>
      </w:r>
    </w:p>
    <w:p w14:paraId="1A32E73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eastAsia" w:ascii="Times New Roman" w:hAnsi="Times New Roman" w:eastAsia="宋体" w:cs="Times New Roman"/>
          <w:bCs/>
          <w:color w:val="auto"/>
          <w:kern w:val="2"/>
          <w:sz w:val="24"/>
          <w:szCs w:val="24"/>
          <w:highlight w:val="none"/>
          <w:lang w:val="en-US" w:eastAsia="zh-CN" w:bidi="ar-SA"/>
        </w:rPr>
        <w:t>成交供应商</w:t>
      </w:r>
      <w:r>
        <w:rPr>
          <w:rFonts w:hint="eastAsia" w:ascii="Times New Roman" w:hAnsi="Times New Roman" w:eastAsia="宋体" w:cs="Times New Roman"/>
          <w:kern w:val="2"/>
          <w:sz w:val="24"/>
          <w:szCs w:val="22"/>
          <w:highlight w:val="none"/>
          <w:lang w:val="en-US" w:eastAsia="zh-CN" w:bidi="ar-SA"/>
        </w:rPr>
        <w:t xml:space="preserve">符合合同约定并已提供完整、合规的申请材料，采购人签署考核、验收确认书及申办每期付款手续可在15天内完成；采购人“付款”是指采购人向财政部门发出申请文件；采购人完成约定支付时限，不包含财政部门审核支付的时间。  </w:t>
      </w:r>
    </w:p>
    <w:p w14:paraId="6A87EC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eastAsia" w:ascii="Times New Roman" w:hAnsi="Times New Roman" w:eastAsia="宋体" w:cs="Times New Roman"/>
          <w:bCs/>
          <w:color w:val="auto"/>
          <w:kern w:val="2"/>
          <w:sz w:val="24"/>
          <w:szCs w:val="24"/>
          <w:highlight w:val="none"/>
          <w:lang w:val="en-US" w:eastAsia="zh-CN" w:bidi="ar-SA"/>
        </w:rPr>
        <w:t>成交供应商</w:t>
      </w:r>
      <w:r>
        <w:rPr>
          <w:rFonts w:hint="eastAsia" w:ascii="Times New Roman" w:hAnsi="Times New Roman" w:eastAsia="宋体" w:cs="Times New Roman"/>
          <w:kern w:val="2"/>
          <w:sz w:val="24"/>
          <w:szCs w:val="22"/>
          <w:highlight w:val="none"/>
          <w:lang w:val="en-US" w:eastAsia="zh-CN" w:bidi="ar-SA"/>
        </w:rPr>
        <w:t xml:space="preserve">应理解采购人付款的相关程序，因采购人使用的是财政资金，采购人在前款规定的付款时间为向财政支付部门提出办理财政支付申请手续的时间，不含财政支付部门审核的时间，采购人在约定期限内向财政支付部门发出付款申请即视为采购人已按期支付。因财政支付审批流程及办理手续而造成项目支付进度有所推延，采购人不承担逾期付款违约责任。  </w:t>
      </w:r>
    </w:p>
    <w:p w14:paraId="19C0E9B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（6）因政府财政部门跨年国库关闸、年底封账，不能按约定时间办理支付进度款，成交供应商可提前办理申请手续；若因此导致逾期付款，采购人不承担逾期付款违约责任。  </w:t>
      </w:r>
    </w:p>
    <w:p w14:paraId="1CB3D9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（7）本合同实施过程中,所发生的一切税费及不可预见费均由</w:t>
      </w:r>
      <w:r>
        <w:rPr>
          <w:rFonts w:hint="eastAsia" w:ascii="Times New Roman" w:hAnsi="Times New Roman" w:eastAsia="宋体" w:cs="Times New Roman"/>
          <w:bCs/>
          <w:color w:val="auto"/>
          <w:kern w:val="2"/>
          <w:sz w:val="24"/>
          <w:szCs w:val="24"/>
          <w:highlight w:val="none"/>
          <w:lang w:val="en-US" w:eastAsia="zh-CN" w:bidi="ar-SA"/>
        </w:rPr>
        <w:t>成交供应商</w:t>
      </w:r>
      <w:r>
        <w:rPr>
          <w:rFonts w:hint="eastAsia" w:ascii="Times New Roman" w:hAnsi="Times New Roman" w:eastAsia="宋体" w:cs="Times New Roman"/>
          <w:kern w:val="2"/>
          <w:sz w:val="24"/>
          <w:szCs w:val="22"/>
          <w:highlight w:val="none"/>
          <w:lang w:val="en-US" w:eastAsia="zh-CN" w:bidi="ar-SA"/>
        </w:rPr>
        <w:t>承担。</w:t>
      </w:r>
    </w:p>
    <w:p w14:paraId="1AE153E2">
      <w:pPr>
        <w:autoSpaceDE w:val="0"/>
        <w:autoSpaceDN w:val="0"/>
        <w:adjustRightInd w:val="0"/>
        <w:spacing w:line="360" w:lineRule="auto"/>
        <w:ind w:left="-504" w:leftChars="-210" w:firstLine="482" w:firstLineChars="200"/>
        <w:jc w:val="left"/>
        <w:outlineLvl w:val="2"/>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7、验收要求</w:t>
      </w:r>
    </w:p>
    <w:p w14:paraId="12BEBBD8">
      <w:pPr>
        <w:widowControl w:val="0"/>
        <w:numPr>
          <w:ilvl w:val="0"/>
          <w:numId w:val="0"/>
        </w:numPr>
        <w:snapToGrid w:val="0"/>
        <w:spacing w:line="360" w:lineRule="auto"/>
        <w:ind w:firstLine="480" w:firstLineChars="20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项目验收依次序对照以下执行标准：</w:t>
      </w:r>
    </w:p>
    <w:p w14:paraId="6F45CD6F">
      <w:pPr>
        <w:widowControl w:val="0"/>
        <w:numPr>
          <w:ilvl w:val="0"/>
          <w:numId w:val="0"/>
        </w:numPr>
        <w:snapToGrid w:val="0"/>
        <w:spacing w:line="360" w:lineRule="auto"/>
        <w:ind w:firstLine="480" w:firstLineChars="200"/>
        <w:jc w:val="left"/>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（1）符合中华人民共和国国家和履约地相关安全质量标准、行业技术规范标准、环保节能标准； </w:t>
      </w:r>
    </w:p>
    <w:p w14:paraId="7B26C8DC">
      <w:pPr>
        <w:widowControl w:val="0"/>
        <w:numPr>
          <w:ilvl w:val="0"/>
          <w:numId w:val="0"/>
        </w:numPr>
        <w:snapToGrid w:val="0"/>
        <w:spacing w:line="360" w:lineRule="auto"/>
        <w:ind w:left="0" w:leftChars="0" w:firstLine="480" w:firstLineChars="200"/>
        <w:jc w:val="left"/>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（2）符合磋商文件和响应承诺中各方共同认可的各项要求； </w:t>
      </w:r>
    </w:p>
    <w:p w14:paraId="1371090A">
      <w:pPr>
        <w:keepNext w:val="0"/>
        <w:keepLines w:val="0"/>
        <w:pageBreakBefore w:val="0"/>
        <w:widowControl w:val="0"/>
        <w:kinsoku/>
        <w:wordWrap/>
        <w:overflowPunct/>
        <w:topLinePunct w:val="0"/>
        <w:autoSpaceDE/>
        <w:autoSpaceDN/>
        <w:bidi w:val="0"/>
        <w:adjustRightInd/>
        <w:snapToGrid w:val="0"/>
        <w:spacing w:after="0" w:afterLines="50"/>
        <w:ind w:firstLine="480" w:firstLineChars="200"/>
        <w:jc w:val="left"/>
        <w:textAlignment w:val="auto"/>
        <w:rPr>
          <w:rFonts w:hint="default" w:ascii="宋体" w:hAnsi="宋体" w:eastAsia="宋体" w:cs="Times New Roman"/>
          <w:kern w:val="0"/>
          <w:sz w:val="28"/>
          <w:szCs w:val="22"/>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eastAsia" w:ascii="Times New Roman" w:hAnsi="Times New Roman" w:eastAsia="宋体" w:cs="Times New Roman"/>
          <w:kern w:val="2"/>
          <w:sz w:val="24"/>
          <w:szCs w:val="22"/>
          <w:lang w:val="en-US" w:eastAsia="zh-CN" w:bidi="ar-SA"/>
        </w:rPr>
        <w:t>上述各类标准与法规必须是有关官方机构最新发布的现行标准版本。</w:t>
      </w:r>
    </w:p>
    <w:p w14:paraId="02E78DEF">
      <w:pPr>
        <w:numPr>
          <w:ilvl w:val="0"/>
          <w:numId w:val="0"/>
        </w:numPr>
        <w:autoSpaceDE w:val="0"/>
        <w:autoSpaceDN w:val="0"/>
        <w:adjustRightInd w:val="0"/>
        <w:spacing w:line="360" w:lineRule="auto"/>
        <w:ind w:leftChars="-10"/>
        <w:jc w:val="left"/>
        <w:outlineLvl w:val="2"/>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8、考核办法</w:t>
      </w:r>
    </w:p>
    <w:p w14:paraId="7CC5E017">
      <w:pPr>
        <w:numPr>
          <w:ilvl w:val="0"/>
          <w:numId w:val="0"/>
        </w:numPr>
        <w:tabs>
          <w:tab w:val="left" w:pos="0"/>
        </w:tabs>
        <w:spacing w:line="360" w:lineRule="auto"/>
        <w:ind w:leftChars="0" w:firstLine="480" w:firstLineChars="200"/>
        <w:jc w:val="left"/>
        <w:rPr>
          <w:rFonts w:hint="eastAsia"/>
          <w:bCs/>
          <w:color w:val="auto"/>
          <w:sz w:val="24"/>
          <w:szCs w:val="24"/>
          <w:highlight w:val="none"/>
          <w:lang w:val="en-GB"/>
        </w:rPr>
      </w:pPr>
      <w:r>
        <w:rPr>
          <w:rFonts w:hint="eastAsia" w:ascii="Calibri" w:eastAsia="宋体"/>
          <w:bCs/>
          <w:color w:val="auto"/>
          <w:sz w:val="24"/>
          <w:szCs w:val="24"/>
          <w:highlight w:val="none"/>
          <w:lang w:val="en-US" w:eastAsia="zh-CN"/>
        </w:rPr>
        <w:t>服务</w:t>
      </w:r>
      <w:r>
        <w:rPr>
          <w:rFonts w:hint="eastAsia" w:ascii="Calibri"/>
          <w:bCs/>
          <w:color w:val="auto"/>
          <w:sz w:val="24"/>
          <w:szCs w:val="24"/>
          <w:highlight w:val="none"/>
          <w:lang w:val="en-GB"/>
        </w:rPr>
        <w:t>期内，由</w:t>
      </w:r>
      <w:r>
        <w:rPr>
          <w:rFonts w:hint="eastAsia" w:ascii="Calibri" w:eastAsia="宋体"/>
          <w:bCs/>
          <w:color w:val="auto"/>
          <w:sz w:val="24"/>
          <w:szCs w:val="24"/>
          <w:highlight w:val="none"/>
          <w:lang w:val="en-US" w:eastAsia="zh-CN"/>
        </w:rPr>
        <w:t>采购人</w:t>
      </w:r>
      <w:r>
        <w:rPr>
          <w:rFonts w:hint="eastAsia" w:ascii="Calibri"/>
          <w:bCs/>
          <w:color w:val="auto"/>
          <w:sz w:val="24"/>
          <w:szCs w:val="24"/>
          <w:highlight w:val="none"/>
          <w:lang w:val="en-GB"/>
        </w:rPr>
        <w:t>每月不定期对</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的服务质量按《</w:t>
      </w:r>
      <w:r>
        <w:rPr>
          <w:rFonts w:hint="eastAsia" w:ascii="Calibri" w:eastAsia="宋体"/>
          <w:bCs/>
          <w:color w:val="auto"/>
          <w:sz w:val="24"/>
          <w:szCs w:val="24"/>
          <w:highlight w:val="none"/>
          <w:lang w:val="en-US" w:eastAsia="zh-CN"/>
        </w:rPr>
        <w:t>考核细则</w:t>
      </w:r>
      <w:r>
        <w:rPr>
          <w:rFonts w:hint="eastAsia" w:ascii="Calibri"/>
          <w:bCs/>
          <w:color w:val="auto"/>
          <w:sz w:val="24"/>
          <w:szCs w:val="24"/>
          <w:highlight w:val="none"/>
          <w:lang w:val="en-GB"/>
        </w:rPr>
        <w:t>》中的</w:t>
      </w:r>
      <w:r>
        <w:rPr>
          <w:rFonts w:hint="eastAsia" w:ascii="Calibri" w:eastAsia="宋体"/>
          <w:bCs/>
          <w:color w:val="auto"/>
          <w:sz w:val="24"/>
          <w:szCs w:val="24"/>
          <w:highlight w:val="none"/>
          <w:lang w:val="en-US" w:eastAsia="zh-CN"/>
        </w:rPr>
        <w:t>考核标准</w:t>
      </w:r>
      <w:r>
        <w:rPr>
          <w:rFonts w:hint="eastAsia" w:ascii="Calibri"/>
          <w:bCs/>
          <w:color w:val="auto"/>
          <w:sz w:val="24"/>
          <w:szCs w:val="24"/>
          <w:highlight w:val="none"/>
          <w:lang w:val="en-GB"/>
        </w:rPr>
        <w:t>进行</w:t>
      </w:r>
      <w:r>
        <w:rPr>
          <w:rFonts w:hint="eastAsia" w:ascii="Calibri" w:eastAsia="宋体"/>
          <w:bCs/>
          <w:color w:val="auto"/>
          <w:sz w:val="24"/>
          <w:szCs w:val="24"/>
          <w:highlight w:val="none"/>
          <w:lang w:val="en-GB" w:eastAsia="zh-CN"/>
        </w:rPr>
        <w:t>考核（</w:t>
      </w:r>
      <w:r>
        <w:rPr>
          <w:rFonts w:hint="eastAsia" w:ascii="Calibri"/>
          <w:bCs/>
          <w:color w:val="auto"/>
          <w:sz w:val="24"/>
          <w:szCs w:val="24"/>
          <w:highlight w:val="none"/>
          <w:lang w:val="en-GB"/>
        </w:rPr>
        <w:t>项目实施过程中，</w:t>
      </w:r>
      <w:r>
        <w:rPr>
          <w:rFonts w:hint="eastAsia" w:ascii="Calibri" w:eastAsia="宋体"/>
          <w:bCs/>
          <w:color w:val="auto"/>
          <w:sz w:val="24"/>
          <w:szCs w:val="24"/>
          <w:highlight w:val="none"/>
          <w:lang w:val="en-US" w:eastAsia="zh-CN"/>
        </w:rPr>
        <w:t>采购人</w:t>
      </w:r>
      <w:r>
        <w:rPr>
          <w:rFonts w:hint="eastAsia" w:ascii="Calibri"/>
          <w:bCs/>
          <w:color w:val="auto"/>
          <w:sz w:val="24"/>
          <w:szCs w:val="24"/>
          <w:highlight w:val="none"/>
          <w:lang w:val="en-GB"/>
        </w:rPr>
        <w:t>可根据实际情况对</w:t>
      </w: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考核细则</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进行合理的修改或补充，</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须无条件接受</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w:t>
      </w:r>
      <w:r>
        <w:rPr>
          <w:rFonts w:hint="eastAsia" w:ascii="Calibri" w:eastAsia="宋体"/>
          <w:bCs/>
          <w:color w:val="auto"/>
          <w:sz w:val="24"/>
          <w:szCs w:val="24"/>
          <w:highlight w:val="none"/>
          <w:lang w:val="en-GB" w:eastAsia="zh-CN"/>
        </w:rPr>
        <w:t>考核</w:t>
      </w:r>
      <w:r>
        <w:rPr>
          <w:rFonts w:hint="eastAsia" w:ascii="Calibri"/>
          <w:bCs/>
          <w:color w:val="auto"/>
          <w:sz w:val="24"/>
          <w:szCs w:val="24"/>
          <w:highlight w:val="none"/>
          <w:lang w:val="en-GB"/>
        </w:rPr>
        <w:t>结果与服务费挂钩</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对</w:t>
      </w:r>
      <w:r>
        <w:rPr>
          <w:rFonts w:hint="eastAsia" w:ascii="Calibri" w:eastAsia="宋体"/>
          <w:bCs/>
          <w:color w:val="auto"/>
          <w:sz w:val="24"/>
          <w:szCs w:val="24"/>
          <w:highlight w:val="none"/>
          <w:lang w:val="en-US" w:eastAsia="zh-CN"/>
        </w:rPr>
        <w:t>考核中存在扣分项的，采购人将</w:t>
      </w:r>
      <w:r>
        <w:rPr>
          <w:rFonts w:hint="eastAsia" w:ascii="Calibri"/>
          <w:bCs/>
          <w:color w:val="auto"/>
          <w:sz w:val="24"/>
          <w:szCs w:val="24"/>
          <w:highlight w:val="none"/>
          <w:lang w:val="en-GB"/>
        </w:rPr>
        <w:t>提出书面</w:t>
      </w:r>
      <w:r>
        <w:rPr>
          <w:rFonts w:hint="eastAsia" w:ascii="Calibri" w:eastAsia="宋体"/>
          <w:bCs/>
          <w:color w:val="auto"/>
          <w:sz w:val="24"/>
          <w:szCs w:val="24"/>
          <w:highlight w:val="none"/>
          <w:lang w:val="en-US" w:eastAsia="zh-CN"/>
        </w:rPr>
        <w:t>整改通知</w:t>
      </w:r>
      <w:r>
        <w:rPr>
          <w:rFonts w:hint="eastAsia" w:ascii="Calibri"/>
          <w:bCs/>
          <w:color w:val="auto"/>
          <w:sz w:val="24"/>
          <w:szCs w:val="24"/>
          <w:highlight w:val="none"/>
          <w:lang w:val="en-GB"/>
        </w:rPr>
        <w:t>。</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须在收到书面整改通知之日起15个工作日内按照要求完成整改并报</w:t>
      </w:r>
      <w:r>
        <w:rPr>
          <w:rFonts w:hint="eastAsia" w:ascii="Calibri" w:eastAsia="宋体"/>
          <w:bCs/>
          <w:color w:val="auto"/>
          <w:sz w:val="24"/>
          <w:szCs w:val="24"/>
          <w:highlight w:val="none"/>
          <w:lang w:val="en-US" w:eastAsia="zh-CN"/>
        </w:rPr>
        <w:t>采购人</w:t>
      </w:r>
      <w:r>
        <w:rPr>
          <w:rFonts w:hint="eastAsia" w:ascii="Calibri"/>
          <w:bCs/>
          <w:color w:val="auto"/>
          <w:sz w:val="24"/>
          <w:szCs w:val="24"/>
          <w:highlight w:val="none"/>
          <w:lang w:val="en-GB"/>
        </w:rPr>
        <w:t>复查确认。逾期未</w:t>
      </w:r>
      <w:r>
        <w:rPr>
          <w:rFonts w:hint="eastAsia" w:ascii="Calibri" w:eastAsia="宋体"/>
          <w:bCs/>
          <w:color w:val="auto"/>
          <w:sz w:val="24"/>
          <w:szCs w:val="24"/>
          <w:highlight w:val="none"/>
          <w:lang w:val="en-US" w:eastAsia="zh-CN"/>
        </w:rPr>
        <w:t>按</w:t>
      </w:r>
      <w:r>
        <w:rPr>
          <w:rFonts w:hint="eastAsia" w:ascii="Calibri"/>
          <w:bCs/>
          <w:color w:val="auto"/>
          <w:sz w:val="24"/>
          <w:szCs w:val="24"/>
          <w:highlight w:val="none"/>
          <w:lang w:val="en-GB"/>
        </w:rPr>
        <w:t>要求完成整改工作的，属于</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违约，</w:t>
      </w:r>
      <w:r>
        <w:rPr>
          <w:rFonts w:hint="eastAsia" w:ascii="Calibri" w:eastAsia="宋体"/>
          <w:bCs/>
          <w:color w:val="auto"/>
          <w:sz w:val="24"/>
          <w:szCs w:val="24"/>
          <w:highlight w:val="none"/>
          <w:lang w:val="en-US" w:eastAsia="zh-CN"/>
        </w:rPr>
        <w:t>采购人</w:t>
      </w:r>
      <w:r>
        <w:rPr>
          <w:rFonts w:hint="eastAsia" w:ascii="Calibri"/>
          <w:bCs/>
          <w:color w:val="auto"/>
          <w:sz w:val="24"/>
          <w:szCs w:val="24"/>
          <w:highlight w:val="none"/>
          <w:lang w:val="en-GB"/>
        </w:rPr>
        <w:t>有权终止合同。</w:t>
      </w:r>
    </w:p>
    <w:p w14:paraId="7E9F647C">
      <w:pPr>
        <w:numPr>
          <w:ilvl w:val="0"/>
          <w:numId w:val="0"/>
        </w:numPr>
        <w:tabs>
          <w:tab w:val="left" w:pos="0"/>
        </w:tabs>
        <w:spacing w:line="360" w:lineRule="auto"/>
        <w:ind w:leftChars="0" w:firstLine="480" w:firstLineChars="200"/>
        <w:jc w:val="left"/>
        <w:rPr>
          <w:rFonts w:hint="eastAsia"/>
          <w:bCs/>
          <w:color w:val="auto"/>
          <w:sz w:val="24"/>
          <w:szCs w:val="24"/>
          <w:highlight w:val="none"/>
          <w:lang w:val="en-GB"/>
        </w:rPr>
      </w:pPr>
      <w:r>
        <w:rPr>
          <w:rFonts w:hint="eastAsia" w:ascii="Calibri"/>
          <w:bCs/>
          <w:color w:val="auto"/>
          <w:sz w:val="24"/>
          <w:szCs w:val="24"/>
          <w:highlight w:val="none"/>
          <w:lang w:val="en-GB"/>
        </w:rPr>
        <w:t>具体</w:t>
      </w:r>
      <w:r>
        <w:rPr>
          <w:rFonts w:hint="eastAsia" w:eastAsia="宋体"/>
          <w:bCs/>
          <w:color w:val="auto"/>
          <w:sz w:val="24"/>
          <w:szCs w:val="24"/>
          <w:highlight w:val="none"/>
          <w:lang w:val="en-GB" w:eastAsia="zh-CN"/>
        </w:rPr>
        <w:t>考核</w:t>
      </w:r>
      <w:r>
        <w:rPr>
          <w:rFonts w:hint="eastAsia" w:ascii="Calibri"/>
          <w:bCs/>
          <w:color w:val="auto"/>
          <w:sz w:val="24"/>
          <w:szCs w:val="24"/>
          <w:highlight w:val="none"/>
          <w:lang w:val="en-GB"/>
        </w:rPr>
        <w:t>如下：</w:t>
      </w:r>
    </w:p>
    <w:p w14:paraId="6C89758F">
      <w:pPr>
        <w:numPr>
          <w:ilvl w:val="0"/>
          <w:numId w:val="0"/>
        </w:numPr>
        <w:tabs>
          <w:tab w:val="left" w:pos="0"/>
        </w:tabs>
        <w:spacing w:line="360" w:lineRule="auto"/>
        <w:ind w:leftChars="0"/>
        <w:jc w:val="left"/>
        <w:rPr>
          <w:rFonts w:hint="eastAsia"/>
          <w:bCs/>
          <w:color w:val="auto"/>
          <w:sz w:val="24"/>
          <w:szCs w:val="24"/>
          <w:highlight w:val="none"/>
          <w:lang w:val="en-GB"/>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1</w:t>
      </w:r>
      <w:r>
        <w:rPr>
          <w:rFonts w:hint="eastAsia" w:ascii="Calibri" w:eastAsia="宋体"/>
          <w:bCs/>
          <w:color w:val="auto"/>
          <w:sz w:val="24"/>
          <w:szCs w:val="24"/>
          <w:highlight w:val="none"/>
          <w:lang w:val="en-GB" w:eastAsia="zh-CN"/>
        </w:rPr>
        <w:t>）</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当月考核得分≥90分时，当月不扣除服务费；</w:t>
      </w:r>
    </w:p>
    <w:p w14:paraId="34ADA77E">
      <w:pPr>
        <w:numPr>
          <w:ilvl w:val="0"/>
          <w:numId w:val="0"/>
        </w:numPr>
        <w:tabs>
          <w:tab w:val="left" w:pos="0"/>
        </w:tabs>
        <w:spacing w:line="360" w:lineRule="auto"/>
        <w:ind w:leftChars="0"/>
        <w:jc w:val="left"/>
        <w:rPr>
          <w:rFonts w:hint="eastAsia"/>
          <w:bCs/>
          <w:color w:val="auto"/>
          <w:sz w:val="24"/>
          <w:szCs w:val="24"/>
          <w:highlight w:val="none"/>
          <w:lang w:val="en-GB"/>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2</w:t>
      </w: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7</w:t>
      </w:r>
      <w:r>
        <w:rPr>
          <w:rFonts w:hint="eastAsia" w:ascii="Calibri"/>
          <w:bCs/>
          <w:color w:val="auto"/>
          <w:sz w:val="24"/>
          <w:szCs w:val="24"/>
          <w:highlight w:val="none"/>
          <w:lang w:val="en-GB"/>
        </w:rPr>
        <w:t>0≤</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当月考核得分＜90分时，按每扣一分扣减该月服务费1000元的标准执行；</w:t>
      </w:r>
    </w:p>
    <w:p w14:paraId="17283056">
      <w:pPr>
        <w:numPr>
          <w:ilvl w:val="0"/>
          <w:numId w:val="0"/>
        </w:numPr>
        <w:tabs>
          <w:tab w:val="left" w:pos="0"/>
        </w:tabs>
        <w:spacing w:line="360" w:lineRule="auto"/>
        <w:ind w:leftChars="0"/>
        <w:jc w:val="left"/>
        <w:rPr>
          <w:rFonts w:hint="eastAsia"/>
          <w:bCs/>
          <w:color w:val="auto"/>
          <w:sz w:val="24"/>
          <w:szCs w:val="24"/>
          <w:highlight w:val="none"/>
          <w:lang w:val="en-GB" w:eastAsia="zh-CN"/>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3</w:t>
      </w:r>
      <w:r>
        <w:rPr>
          <w:rFonts w:hint="eastAsia" w:ascii="Calibri" w:eastAsia="宋体"/>
          <w:bCs/>
          <w:color w:val="auto"/>
          <w:sz w:val="24"/>
          <w:szCs w:val="24"/>
          <w:highlight w:val="none"/>
          <w:lang w:val="en-GB" w:eastAsia="zh-CN"/>
        </w:rPr>
        <w:t>）</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当月考核得分得分＜7</w:t>
      </w:r>
      <w:r>
        <w:rPr>
          <w:rFonts w:hint="eastAsia" w:ascii="Calibri" w:eastAsia="宋体"/>
          <w:bCs/>
          <w:color w:val="auto"/>
          <w:sz w:val="24"/>
          <w:szCs w:val="24"/>
          <w:highlight w:val="none"/>
          <w:lang w:val="en-US" w:eastAsia="zh-CN"/>
        </w:rPr>
        <w:t>0</w:t>
      </w:r>
      <w:r>
        <w:rPr>
          <w:rFonts w:hint="eastAsia" w:ascii="Calibri"/>
          <w:bCs/>
          <w:color w:val="auto"/>
          <w:sz w:val="24"/>
          <w:szCs w:val="24"/>
          <w:highlight w:val="none"/>
          <w:lang w:val="en-GB"/>
        </w:rPr>
        <w:t>分时，按每扣一分扣减该月服务费1000元的标准执行</w:t>
      </w:r>
      <w:r>
        <w:rPr>
          <w:rFonts w:hint="eastAsia" w:ascii="Calibri" w:eastAsia="宋体"/>
          <w:bCs/>
          <w:color w:val="auto"/>
          <w:sz w:val="24"/>
          <w:szCs w:val="24"/>
          <w:highlight w:val="none"/>
          <w:lang w:val="en-GB" w:eastAsia="zh-CN"/>
        </w:rPr>
        <w:t>；</w:t>
      </w:r>
    </w:p>
    <w:p w14:paraId="43455033">
      <w:pPr>
        <w:numPr>
          <w:ilvl w:val="0"/>
          <w:numId w:val="0"/>
        </w:numPr>
        <w:tabs>
          <w:tab w:val="left" w:pos="0"/>
        </w:tabs>
        <w:spacing w:line="360" w:lineRule="auto"/>
        <w:ind w:leftChars="0"/>
        <w:jc w:val="left"/>
        <w:rPr>
          <w:rFonts w:hint="eastAsia" w:eastAsia="宋体"/>
          <w:bCs/>
          <w:color w:val="auto"/>
          <w:sz w:val="24"/>
          <w:szCs w:val="24"/>
          <w:highlight w:val="none"/>
          <w:lang w:val="en-GB" w:eastAsia="zh-CN"/>
        </w:rPr>
      </w:pPr>
      <w:r>
        <w:rPr>
          <w:rFonts w:hint="eastAsia" w:eastAsia="宋体"/>
          <w:bCs/>
          <w:color w:val="auto"/>
          <w:sz w:val="24"/>
          <w:szCs w:val="24"/>
          <w:highlight w:val="none"/>
          <w:lang w:val="en-GB" w:eastAsia="zh-CN"/>
        </w:rPr>
        <w:t>（</w:t>
      </w:r>
      <w:r>
        <w:rPr>
          <w:rFonts w:hint="eastAsia" w:eastAsia="宋体"/>
          <w:bCs/>
          <w:color w:val="auto"/>
          <w:sz w:val="24"/>
          <w:szCs w:val="24"/>
          <w:highlight w:val="none"/>
          <w:lang w:val="en-US" w:eastAsia="zh-CN"/>
        </w:rPr>
        <w:t>4</w:t>
      </w:r>
      <w:r>
        <w:rPr>
          <w:rFonts w:hint="eastAsia" w:eastAsia="宋体"/>
          <w:bCs/>
          <w:color w:val="auto"/>
          <w:sz w:val="24"/>
          <w:szCs w:val="24"/>
          <w:highlight w:val="none"/>
          <w:lang w:val="en-GB" w:eastAsia="zh-CN"/>
        </w:rPr>
        <w:t>）</w:t>
      </w:r>
      <w:r>
        <w:rPr>
          <w:rFonts w:hint="eastAsia" w:ascii="Calibri"/>
          <w:bCs/>
          <w:color w:val="auto"/>
          <w:sz w:val="24"/>
          <w:szCs w:val="24"/>
          <w:highlight w:val="none"/>
          <w:lang w:val="en-GB"/>
        </w:rPr>
        <w:t>若</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次月考核得分仍＜70分时，</w:t>
      </w:r>
      <w:r>
        <w:rPr>
          <w:rFonts w:hint="eastAsia" w:ascii="Calibri" w:eastAsia="宋体"/>
          <w:bCs/>
          <w:color w:val="auto"/>
          <w:sz w:val="24"/>
          <w:szCs w:val="24"/>
          <w:highlight w:val="none"/>
          <w:lang w:val="en-GB" w:eastAsia="zh-CN"/>
        </w:rPr>
        <w:t>则</w:t>
      </w:r>
      <w:r>
        <w:rPr>
          <w:rFonts w:hint="eastAsia" w:ascii="Calibri"/>
          <w:bCs/>
          <w:color w:val="auto"/>
          <w:sz w:val="24"/>
          <w:szCs w:val="24"/>
          <w:highlight w:val="none"/>
          <w:lang w:val="en-GB"/>
        </w:rPr>
        <w:t>按每扣一分扣减该月服务费</w:t>
      </w:r>
      <w:r>
        <w:rPr>
          <w:rFonts w:hint="eastAsia" w:ascii="Calibri" w:eastAsia="宋体"/>
          <w:bCs/>
          <w:color w:val="auto"/>
          <w:sz w:val="24"/>
          <w:szCs w:val="24"/>
          <w:highlight w:val="none"/>
          <w:lang w:val="en-US" w:eastAsia="zh-CN"/>
        </w:rPr>
        <w:t>2</w:t>
      </w:r>
      <w:r>
        <w:rPr>
          <w:rFonts w:hint="eastAsia" w:ascii="Calibri"/>
          <w:bCs/>
          <w:color w:val="auto"/>
          <w:sz w:val="24"/>
          <w:szCs w:val="24"/>
          <w:highlight w:val="none"/>
          <w:lang w:val="en-GB"/>
        </w:rPr>
        <w:t>000元的标准执行</w:t>
      </w:r>
      <w:r>
        <w:rPr>
          <w:rFonts w:hint="eastAsia" w:eastAsia="宋体"/>
          <w:bCs/>
          <w:color w:val="auto"/>
          <w:sz w:val="24"/>
          <w:szCs w:val="24"/>
          <w:highlight w:val="none"/>
          <w:lang w:val="en-GB" w:eastAsia="zh-CN"/>
        </w:rPr>
        <w:t>；</w:t>
      </w:r>
    </w:p>
    <w:p w14:paraId="6880A057">
      <w:pPr>
        <w:numPr>
          <w:ilvl w:val="0"/>
          <w:numId w:val="0"/>
        </w:numPr>
        <w:tabs>
          <w:tab w:val="left" w:pos="0"/>
        </w:tabs>
        <w:spacing w:line="360" w:lineRule="auto"/>
        <w:ind w:leftChars="0"/>
        <w:jc w:val="left"/>
        <w:rPr>
          <w:rFonts w:hint="default" w:ascii="Times New Roman" w:hAnsi="Times New Roman" w:eastAsia="宋体" w:cs="Times New Roman"/>
          <w:b/>
          <w:bCs w:val="0"/>
          <w:color w:val="auto"/>
          <w:sz w:val="24"/>
          <w:szCs w:val="24"/>
          <w:highlight w:val="none"/>
          <w:lang w:val="en-US" w:eastAsia="zh-CN"/>
        </w:rPr>
      </w:pPr>
      <w:r>
        <w:rPr>
          <w:rFonts w:hint="eastAsia" w:eastAsia="宋体"/>
          <w:bCs/>
          <w:color w:val="auto"/>
          <w:sz w:val="24"/>
          <w:szCs w:val="24"/>
          <w:highlight w:val="none"/>
          <w:lang w:val="en-GB" w:eastAsia="zh-CN"/>
        </w:rPr>
        <w:t>（</w:t>
      </w:r>
      <w:r>
        <w:rPr>
          <w:rFonts w:hint="eastAsia" w:eastAsia="宋体"/>
          <w:bCs/>
          <w:color w:val="auto"/>
          <w:sz w:val="24"/>
          <w:szCs w:val="24"/>
          <w:highlight w:val="none"/>
          <w:lang w:val="en-US" w:eastAsia="zh-CN"/>
        </w:rPr>
        <w:t>5</w:t>
      </w:r>
      <w:r>
        <w:rPr>
          <w:rFonts w:hint="eastAsia" w:eastAsia="宋体"/>
          <w:bCs/>
          <w:color w:val="auto"/>
          <w:sz w:val="24"/>
          <w:szCs w:val="24"/>
          <w:highlight w:val="none"/>
          <w:lang w:val="en-GB" w:eastAsia="zh-CN"/>
        </w:rPr>
        <w:t>）</w:t>
      </w:r>
      <w:r>
        <w:rPr>
          <w:rFonts w:hint="eastAsia" w:ascii="Calibri"/>
          <w:bCs/>
          <w:color w:val="auto"/>
          <w:sz w:val="24"/>
          <w:szCs w:val="24"/>
          <w:highlight w:val="none"/>
          <w:lang w:val="en-GB"/>
        </w:rPr>
        <w:t>若</w:t>
      </w:r>
      <w:r>
        <w:rPr>
          <w:rFonts w:hint="eastAsia" w:eastAsia="宋体"/>
          <w:bCs/>
          <w:color w:val="auto"/>
          <w:sz w:val="24"/>
          <w:szCs w:val="24"/>
          <w:highlight w:val="none"/>
          <w:lang w:val="en-US" w:eastAsia="zh-CN"/>
        </w:rPr>
        <w:t>成交供应商</w:t>
      </w:r>
      <w:r>
        <w:rPr>
          <w:rFonts w:hint="eastAsia" w:ascii="Calibri"/>
          <w:bCs/>
          <w:color w:val="auto"/>
          <w:sz w:val="24"/>
          <w:szCs w:val="24"/>
          <w:highlight w:val="none"/>
          <w:lang w:val="en-GB"/>
        </w:rPr>
        <w:t>服务期连续 3个月考核得分＜70分时</w:t>
      </w:r>
      <w:r>
        <w:rPr>
          <w:rFonts w:hint="eastAsia" w:eastAsia="宋体"/>
          <w:bCs/>
          <w:color w:val="auto"/>
          <w:sz w:val="24"/>
          <w:szCs w:val="24"/>
          <w:highlight w:val="none"/>
          <w:lang w:val="en-GB" w:eastAsia="zh-CN"/>
        </w:rPr>
        <w:t>，属于</w:t>
      </w:r>
      <w:r>
        <w:rPr>
          <w:rFonts w:hint="eastAsia" w:ascii="Calibri" w:eastAsia="宋体"/>
          <w:bCs/>
          <w:color w:val="auto"/>
          <w:sz w:val="24"/>
          <w:szCs w:val="24"/>
          <w:highlight w:val="none"/>
          <w:lang w:val="en-GB" w:eastAsia="zh-CN"/>
        </w:rPr>
        <w:t>成交供应商</w:t>
      </w:r>
      <w:r>
        <w:rPr>
          <w:rFonts w:hint="eastAsia" w:ascii="Calibri"/>
          <w:bCs/>
          <w:color w:val="auto"/>
          <w:sz w:val="24"/>
          <w:szCs w:val="24"/>
          <w:highlight w:val="none"/>
          <w:lang w:val="en-GB"/>
        </w:rPr>
        <w:t>违约，</w:t>
      </w:r>
      <w:r>
        <w:rPr>
          <w:rFonts w:hint="eastAsia" w:ascii="Calibri" w:eastAsia="宋体"/>
          <w:bCs/>
          <w:color w:val="auto"/>
          <w:sz w:val="24"/>
          <w:szCs w:val="24"/>
          <w:highlight w:val="none"/>
          <w:lang w:val="en-US" w:eastAsia="zh-CN"/>
        </w:rPr>
        <w:t>采购人</w:t>
      </w:r>
      <w:r>
        <w:rPr>
          <w:rFonts w:hint="eastAsia" w:ascii="Calibri"/>
          <w:bCs/>
          <w:color w:val="auto"/>
          <w:sz w:val="24"/>
          <w:szCs w:val="24"/>
          <w:highlight w:val="none"/>
          <w:lang w:val="en-GB"/>
        </w:rPr>
        <w:t>有权终止合同。</w:t>
      </w:r>
    </w:p>
    <w:p w14:paraId="11FF9448">
      <w:pPr>
        <w:numPr>
          <w:ilvl w:val="0"/>
          <w:numId w:val="0"/>
        </w:numPr>
        <w:tabs>
          <w:tab w:val="left" w:pos="0"/>
        </w:tabs>
        <w:spacing w:line="360" w:lineRule="auto"/>
        <w:ind w:leftChars="0"/>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w:t>
      </w:r>
      <w:r>
        <w:rPr>
          <w:rFonts w:hint="eastAsia" w:ascii="Calibri"/>
          <w:b/>
          <w:bCs w:val="0"/>
          <w:color w:val="auto"/>
          <w:sz w:val="24"/>
          <w:szCs w:val="24"/>
          <w:highlight w:val="none"/>
          <w:lang w:val="en-GB"/>
        </w:rPr>
        <w:t>考核细则</w:t>
      </w:r>
      <w:r>
        <w:rPr>
          <w:rFonts w:hint="eastAsia" w:eastAsia="宋体"/>
          <w:b/>
          <w:bCs w:val="0"/>
          <w:color w:val="auto"/>
          <w:sz w:val="24"/>
          <w:szCs w:val="24"/>
          <w:highlight w:val="none"/>
          <w:lang w:val="en-US" w:eastAsia="zh-CN"/>
        </w:rPr>
        <w:t>》</w:t>
      </w:r>
    </w:p>
    <w:p w14:paraId="7EAF0582">
      <w:pPr>
        <w:widowControl w:val="0"/>
        <w:spacing w:line="360" w:lineRule="auto"/>
        <w:ind w:firstLine="482" w:firstLineChars="200"/>
        <w:jc w:val="center"/>
        <w:rPr>
          <w:rFonts w:hint="default" w:ascii="Times New Roman" w:hAnsi="Times New Roman" w:eastAsia="宋体" w:cs="Times New Roman"/>
          <w:kern w:val="2"/>
          <w:sz w:val="24"/>
          <w:szCs w:val="20"/>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本考核办法满分为100分。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683"/>
        <w:gridCol w:w="4073"/>
        <w:gridCol w:w="504"/>
      </w:tblGrid>
      <w:tr w14:paraId="6C2B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noWrap w:val="0"/>
            <w:vAlign w:val="center"/>
          </w:tcPr>
          <w:p w14:paraId="4C57A395">
            <w:pPr>
              <w:spacing w:line="360" w:lineRule="auto"/>
              <w:jc w:val="center"/>
              <w:rPr>
                <w:rFonts w:hint="eastAsia"/>
                <w:b/>
                <w:bCs/>
                <w:color w:val="auto"/>
                <w:sz w:val="24"/>
                <w:szCs w:val="24"/>
                <w:highlight w:val="none"/>
              </w:rPr>
            </w:pPr>
            <w:r>
              <w:rPr>
                <w:rFonts w:hint="eastAsia"/>
                <w:b/>
                <w:bCs/>
                <w:color w:val="auto"/>
                <w:sz w:val="24"/>
                <w:szCs w:val="24"/>
                <w:highlight w:val="none"/>
              </w:rPr>
              <w:t>序号</w:t>
            </w:r>
          </w:p>
        </w:tc>
        <w:tc>
          <w:tcPr>
            <w:tcW w:w="0" w:type="auto"/>
            <w:noWrap w:val="0"/>
            <w:vAlign w:val="center"/>
          </w:tcPr>
          <w:p w14:paraId="5DDD52C5">
            <w:pPr>
              <w:spacing w:line="360" w:lineRule="auto"/>
              <w:jc w:val="center"/>
              <w:rPr>
                <w:rFonts w:hint="eastAsia"/>
                <w:b/>
                <w:bCs/>
                <w:color w:val="auto"/>
                <w:sz w:val="24"/>
                <w:szCs w:val="24"/>
                <w:highlight w:val="none"/>
              </w:rPr>
            </w:pPr>
            <w:r>
              <w:rPr>
                <w:rFonts w:hint="eastAsia" w:eastAsia="宋体"/>
                <w:b/>
                <w:bCs/>
                <w:color w:val="auto"/>
                <w:sz w:val="24"/>
                <w:szCs w:val="24"/>
                <w:highlight w:val="none"/>
                <w:lang w:val="en-US" w:eastAsia="zh-CN"/>
              </w:rPr>
              <w:t>考核</w:t>
            </w:r>
            <w:r>
              <w:rPr>
                <w:rFonts w:hint="eastAsia"/>
                <w:b/>
                <w:bCs/>
                <w:color w:val="auto"/>
                <w:sz w:val="24"/>
                <w:szCs w:val="24"/>
                <w:highlight w:val="none"/>
              </w:rPr>
              <w:t>标准</w:t>
            </w:r>
          </w:p>
        </w:tc>
        <w:tc>
          <w:tcPr>
            <w:tcW w:w="0" w:type="auto"/>
            <w:noWrap w:val="0"/>
            <w:vAlign w:val="center"/>
          </w:tcPr>
          <w:p w14:paraId="5FA3C724">
            <w:pPr>
              <w:spacing w:line="360" w:lineRule="auto"/>
              <w:jc w:val="center"/>
              <w:rPr>
                <w:rFonts w:hint="eastAsia" w:eastAsia="宋体"/>
                <w:b/>
                <w:bCs/>
                <w:color w:val="auto"/>
                <w:sz w:val="24"/>
                <w:szCs w:val="24"/>
                <w:highlight w:val="none"/>
                <w:lang w:val="en-US" w:eastAsia="zh-CN"/>
              </w:rPr>
            </w:pPr>
            <w:r>
              <w:rPr>
                <w:rFonts w:hint="eastAsia"/>
                <w:b/>
                <w:bCs/>
                <w:color w:val="auto"/>
                <w:sz w:val="24"/>
                <w:szCs w:val="24"/>
                <w:highlight w:val="none"/>
              </w:rPr>
              <w:t>扣分</w:t>
            </w:r>
            <w:r>
              <w:rPr>
                <w:rFonts w:hint="eastAsia" w:eastAsia="宋体"/>
                <w:b/>
                <w:bCs/>
                <w:color w:val="auto"/>
                <w:sz w:val="24"/>
                <w:szCs w:val="24"/>
                <w:highlight w:val="none"/>
                <w:lang w:val="en-US" w:eastAsia="zh-CN"/>
              </w:rPr>
              <w:t>情况</w:t>
            </w:r>
          </w:p>
        </w:tc>
        <w:tc>
          <w:tcPr>
            <w:tcW w:w="0" w:type="auto"/>
            <w:noWrap w:val="0"/>
            <w:vAlign w:val="center"/>
          </w:tcPr>
          <w:p w14:paraId="0A1B9182">
            <w:pPr>
              <w:spacing w:line="360" w:lineRule="auto"/>
              <w:jc w:val="center"/>
              <w:rPr>
                <w:rFonts w:hint="eastAsia"/>
                <w:b/>
                <w:bCs/>
                <w:color w:val="auto"/>
                <w:sz w:val="24"/>
                <w:szCs w:val="24"/>
                <w:highlight w:val="none"/>
              </w:rPr>
            </w:pPr>
            <w:r>
              <w:rPr>
                <w:b/>
                <w:color w:val="000000"/>
                <w:sz w:val="21"/>
                <w:highlight w:val="none"/>
              </w:rPr>
              <w:t>扣分</w:t>
            </w:r>
          </w:p>
        </w:tc>
      </w:tr>
      <w:tr w14:paraId="05A2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B7097DD">
            <w:pPr>
              <w:spacing w:line="360" w:lineRule="auto"/>
              <w:jc w:val="center"/>
              <w:rPr>
                <w:rFonts w:hint="eastAsia"/>
                <w:color w:val="auto"/>
                <w:sz w:val="24"/>
                <w:szCs w:val="24"/>
                <w:highlight w:val="none"/>
              </w:rPr>
            </w:pPr>
            <w:r>
              <w:rPr>
                <w:rFonts w:hint="eastAsia"/>
                <w:color w:val="auto"/>
                <w:sz w:val="24"/>
                <w:szCs w:val="24"/>
                <w:highlight w:val="none"/>
              </w:rPr>
              <w:t>1</w:t>
            </w:r>
          </w:p>
        </w:tc>
        <w:tc>
          <w:tcPr>
            <w:tcW w:w="0" w:type="auto"/>
            <w:noWrap w:val="0"/>
            <w:vAlign w:val="center"/>
          </w:tcPr>
          <w:p w14:paraId="65DA3E99">
            <w:pPr>
              <w:spacing w:line="360" w:lineRule="auto"/>
              <w:rPr>
                <w:rFonts w:hint="eastAsia"/>
                <w:color w:val="auto"/>
                <w:sz w:val="24"/>
                <w:szCs w:val="24"/>
                <w:highlight w:val="none"/>
              </w:rPr>
            </w:pPr>
            <w:r>
              <w:rPr>
                <w:rFonts w:hint="eastAsia"/>
                <w:color w:val="auto"/>
                <w:sz w:val="24"/>
                <w:szCs w:val="24"/>
                <w:highlight w:val="none"/>
              </w:rPr>
              <w:t>上班迟到、早退、擅自离岗时间不足1小时的</w:t>
            </w:r>
          </w:p>
        </w:tc>
        <w:tc>
          <w:tcPr>
            <w:tcW w:w="0" w:type="auto"/>
            <w:noWrap w:val="0"/>
            <w:vAlign w:val="center"/>
          </w:tcPr>
          <w:p w14:paraId="771E042B">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0.2分，每天上限扣3分</w:t>
            </w:r>
            <w:r>
              <w:rPr>
                <w:rFonts w:hint="eastAsia" w:eastAsia="宋体"/>
                <w:color w:val="auto"/>
                <w:sz w:val="24"/>
                <w:szCs w:val="24"/>
                <w:highlight w:val="none"/>
                <w:lang w:eastAsia="zh-CN"/>
              </w:rPr>
              <w:t>。</w:t>
            </w:r>
          </w:p>
        </w:tc>
        <w:tc>
          <w:tcPr>
            <w:tcW w:w="0" w:type="auto"/>
            <w:noWrap w:val="0"/>
            <w:vAlign w:val="center"/>
          </w:tcPr>
          <w:p w14:paraId="37A66DDE">
            <w:pPr>
              <w:spacing w:line="360" w:lineRule="auto"/>
              <w:rPr>
                <w:rFonts w:hint="eastAsia"/>
                <w:color w:val="auto"/>
                <w:sz w:val="24"/>
                <w:szCs w:val="24"/>
                <w:highlight w:val="none"/>
              </w:rPr>
            </w:pPr>
          </w:p>
        </w:tc>
      </w:tr>
      <w:tr w14:paraId="176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0A02BAB">
            <w:pPr>
              <w:spacing w:line="360" w:lineRule="auto"/>
              <w:jc w:val="center"/>
              <w:rPr>
                <w:rFonts w:hint="eastAsia"/>
                <w:color w:val="auto"/>
                <w:sz w:val="24"/>
                <w:szCs w:val="24"/>
                <w:highlight w:val="none"/>
              </w:rPr>
            </w:pPr>
            <w:r>
              <w:rPr>
                <w:rFonts w:hint="eastAsia"/>
                <w:color w:val="auto"/>
                <w:sz w:val="24"/>
                <w:szCs w:val="24"/>
                <w:highlight w:val="none"/>
              </w:rPr>
              <w:t>2</w:t>
            </w:r>
          </w:p>
        </w:tc>
        <w:tc>
          <w:tcPr>
            <w:tcW w:w="0" w:type="auto"/>
            <w:noWrap w:val="0"/>
            <w:vAlign w:val="center"/>
          </w:tcPr>
          <w:p w14:paraId="14782DC9">
            <w:pPr>
              <w:spacing w:line="360" w:lineRule="auto"/>
              <w:rPr>
                <w:rFonts w:hint="eastAsia"/>
                <w:color w:val="auto"/>
                <w:sz w:val="24"/>
                <w:szCs w:val="24"/>
                <w:highlight w:val="none"/>
              </w:rPr>
            </w:pPr>
            <w:r>
              <w:rPr>
                <w:rFonts w:hint="eastAsia"/>
                <w:color w:val="auto"/>
                <w:sz w:val="24"/>
                <w:szCs w:val="24"/>
                <w:highlight w:val="none"/>
              </w:rPr>
              <w:t>上班迟到、早退、擅自离岗时间超过1小时（少于3小时）的；突发重特大事故（件）紧急集结时缺席的</w:t>
            </w:r>
          </w:p>
        </w:tc>
        <w:tc>
          <w:tcPr>
            <w:tcW w:w="0" w:type="auto"/>
            <w:noWrap w:val="0"/>
            <w:vAlign w:val="center"/>
          </w:tcPr>
          <w:p w14:paraId="6638A968">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4FB0D56F">
            <w:pPr>
              <w:spacing w:line="360" w:lineRule="auto"/>
              <w:rPr>
                <w:rFonts w:hint="eastAsia"/>
                <w:color w:val="auto"/>
                <w:sz w:val="24"/>
                <w:szCs w:val="24"/>
                <w:highlight w:val="none"/>
              </w:rPr>
            </w:pPr>
          </w:p>
        </w:tc>
      </w:tr>
      <w:tr w14:paraId="215A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7C853A62">
            <w:pPr>
              <w:spacing w:line="360" w:lineRule="auto"/>
              <w:jc w:val="center"/>
              <w:rPr>
                <w:rFonts w:hint="eastAsia"/>
                <w:color w:val="auto"/>
                <w:sz w:val="24"/>
                <w:szCs w:val="24"/>
                <w:highlight w:val="none"/>
              </w:rPr>
            </w:pPr>
            <w:r>
              <w:rPr>
                <w:rFonts w:hint="eastAsia"/>
                <w:color w:val="auto"/>
                <w:sz w:val="24"/>
                <w:szCs w:val="24"/>
                <w:highlight w:val="none"/>
              </w:rPr>
              <w:t>3</w:t>
            </w:r>
          </w:p>
        </w:tc>
        <w:tc>
          <w:tcPr>
            <w:tcW w:w="0" w:type="auto"/>
            <w:noWrap w:val="0"/>
            <w:vAlign w:val="center"/>
          </w:tcPr>
          <w:p w14:paraId="0B9C046D">
            <w:pPr>
              <w:spacing w:line="360" w:lineRule="auto"/>
              <w:rPr>
                <w:rFonts w:hint="eastAsia"/>
                <w:color w:val="auto"/>
                <w:sz w:val="24"/>
                <w:szCs w:val="24"/>
                <w:highlight w:val="none"/>
              </w:rPr>
            </w:pPr>
            <w:r>
              <w:rPr>
                <w:rFonts w:hint="eastAsia"/>
                <w:color w:val="auto"/>
                <w:sz w:val="24"/>
                <w:szCs w:val="24"/>
                <w:highlight w:val="none"/>
              </w:rPr>
              <w:t>上班、值班或执勤期间擅离职守3小时（含）以上</w:t>
            </w:r>
          </w:p>
        </w:tc>
        <w:tc>
          <w:tcPr>
            <w:tcW w:w="0" w:type="auto"/>
            <w:noWrap w:val="0"/>
            <w:vAlign w:val="center"/>
          </w:tcPr>
          <w:p w14:paraId="6A95839D">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1分；情节严重的，每人每次扣2分。每天上限扣10分</w:t>
            </w:r>
            <w:r>
              <w:rPr>
                <w:rFonts w:hint="eastAsia" w:eastAsia="宋体"/>
                <w:color w:val="auto"/>
                <w:sz w:val="24"/>
                <w:szCs w:val="24"/>
                <w:highlight w:val="none"/>
                <w:lang w:eastAsia="zh-CN"/>
              </w:rPr>
              <w:t>。</w:t>
            </w:r>
          </w:p>
        </w:tc>
        <w:tc>
          <w:tcPr>
            <w:tcW w:w="0" w:type="auto"/>
            <w:noWrap w:val="0"/>
            <w:vAlign w:val="center"/>
          </w:tcPr>
          <w:p w14:paraId="5B1DD676">
            <w:pPr>
              <w:spacing w:line="360" w:lineRule="auto"/>
              <w:rPr>
                <w:rFonts w:hint="eastAsia"/>
                <w:color w:val="auto"/>
                <w:sz w:val="24"/>
                <w:szCs w:val="24"/>
                <w:highlight w:val="none"/>
              </w:rPr>
            </w:pPr>
          </w:p>
        </w:tc>
      </w:tr>
      <w:tr w14:paraId="314C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24B518DC">
            <w:pPr>
              <w:spacing w:line="360" w:lineRule="auto"/>
              <w:jc w:val="center"/>
              <w:rPr>
                <w:rFonts w:hint="eastAsia"/>
                <w:color w:val="auto"/>
                <w:sz w:val="24"/>
                <w:szCs w:val="24"/>
                <w:highlight w:val="none"/>
              </w:rPr>
            </w:pPr>
            <w:r>
              <w:rPr>
                <w:rFonts w:hint="eastAsia"/>
                <w:color w:val="auto"/>
                <w:sz w:val="24"/>
                <w:szCs w:val="24"/>
                <w:highlight w:val="none"/>
              </w:rPr>
              <w:t>4</w:t>
            </w:r>
          </w:p>
        </w:tc>
        <w:tc>
          <w:tcPr>
            <w:tcW w:w="0" w:type="auto"/>
            <w:noWrap w:val="0"/>
            <w:vAlign w:val="center"/>
          </w:tcPr>
          <w:p w14:paraId="587ACA94">
            <w:pPr>
              <w:spacing w:line="360" w:lineRule="auto"/>
              <w:rPr>
                <w:rFonts w:hint="eastAsia"/>
                <w:color w:val="auto"/>
                <w:sz w:val="24"/>
                <w:szCs w:val="24"/>
                <w:highlight w:val="none"/>
              </w:rPr>
            </w:pPr>
            <w:r>
              <w:rPr>
                <w:rFonts w:hint="eastAsia"/>
                <w:color w:val="auto"/>
                <w:sz w:val="24"/>
                <w:szCs w:val="24"/>
                <w:highlight w:val="none"/>
              </w:rPr>
              <w:t>无故旷工或者因私外出无正当理由逾期不归的</w:t>
            </w:r>
          </w:p>
        </w:tc>
        <w:tc>
          <w:tcPr>
            <w:tcW w:w="0" w:type="auto"/>
            <w:noWrap w:val="0"/>
            <w:vAlign w:val="center"/>
          </w:tcPr>
          <w:p w14:paraId="46216399">
            <w:pPr>
              <w:spacing w:line="360" w:lineRule="auto"/>
              <w:rPr>
                <w:rFonts w:hint="eastAsia" w:eastAsia="宋体"/>
                <w:color w:val="auto"/>
                <w:sz w:val="24"/>
                <w:szCs w:val="24"/>
                <w:highlight w:val="none"/>
                <w:lang w:eastAsia="zh-CN"/>
              </w:rPr>
            </w:pPr>
            <w:r>
              <w:rPr>
                <w:rFonts w:hint="eastAsia"/>
                <w:color w:val="auto"/>
                <w:sz w:val="24"/>
                <w:szCs w:val="24"/>
                <w:highlight w:val="none"/>
              </w:rPr>
              <w:t>每人每天扣 1分，每天上限扣10分</w:t>
            </w:r>
            <w:r>
              <w:rPr>
                <w:rFonts w:hint="eastAsia" w:eastAsia="宋体"/>
                <w:color w:val="auto"/>
                <w:sz w:val="24"/>
                <w:szCs w:val="24"/>
                <w:highlight w:val="none"/>
                <w:lang w:eastAsia="zh-CN"/>
              </w:rPr>
              <w:t>。</w:t>
            </w:r>
          </w:p>
        </w:tc>
        <w:tc>
          <w:tcPr>
            <w:tcW w:w="0" w:type="auto"/>
            <w:noWrap w:val="0"/>
            <w:vAlign w:val="center"/>
          </w:tcPr>
          <w:p w14:paraId="1BDD36E9">
            <w:pPr>
              <w:spacing w:line="360" w:lineRule="auto"/>
              <w:rPr>
                <w:rFonts w:hint="eastAsia"/>
                <w:color w:val="auto"/>
                <w:sz w:val="24"/>
                <w:szCs w:val="24"/>
                <w:highlight w:val="none"/>
              </w:rPr>
            </w:pPr>
          </w:p>
        </w:tc>
      </w:tr>
      <w:tr w14:paraId="78A0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1F10A845">
            <w:pPr>
              <w:spacing w:line="360" w:lineRule="auto"/>
              <w:jc w:val="center"/>
              <w:rPr>
                <w:rFonts w:hint="eastAsia"/>
                <w:color w:val="auto"/>
                <w:sz w:val="24"/>
                <w:szCs w:val="24"/>
                <w:highlight w:val="none"/>
              </w:rPr>
            </w:pPr>
            <w:r>
              <w:rPr>
                <w:rFonts w:hint="eastAsia"/>
                <w:color w:val="auto"/>
                <w:sz w:val="24"/>
                <w:szCs w:val="24"/>
                <w:highlight w:val="none"/>
              </w:rPr>
              <w:t>5</w:t>
            </w:r>
          </w:p>
        </w:tc>
        <w:tc>
          <w:tcPr>
            <w:tcW w:w="0" w:type="auto"/>
            <w:noWrap w:val="0"/>
            <w:vAlign w:val="center"/>
          </w:tcPr>
          <w:p w14:paraId="2EB693B8">
            <w:pPr>
              <w:spacing w:line="360" w:lineRule="auto"/>
              <w:rPr>
                <w:rFonts w:hint="eastAsia"/>
                <w:color w:val="auto"/>
                <w:sz w:val="24"/>
                <w:szCs w:val="24"/>
                <w:highlight w:val="none"/>
              </w:rPr>
            </w:pPr>
            <w:r>
              <w:rPr>
                <w:rFonts w:hint="eastAsia"/>
                <w:color w:val="auto"/>
                <w:sz w:val="24"/>
                <w:szCs w:val="24"/>
                <w:highlight w:val="none"/>
              </w:rPr>
              <w:t>无故不参加</w:t>
            </w:r>
            <w:r>
              <w:rPr>
                <w:rFonts w:hint="eastAsia" w:eastAsia="宋体"/>
                <w:color w:val="auto"/>
                <w:sz w:val="24"/>
                <w:szCs w:val="24"/>
                <w:highlight w:val="none"/>
                <w:lang w:eastAsia="zh-CN"/>
              </w:rPr>
              <w:t>采购人</w:t>
            </w:r>
            <w:r>
              <w:rPr>
                <w:rFonts w:hint="eastAsia"/>
                <w:color w:val="auto"/>
                <w:sz w:val="24"/>
                <w:szCs w:val="24"/>
                <w:highlight w:val="none"/>
              </w:rPr>
              <w:t>或</w:t>
            </w:r>
            <w:r>
              <w:rPr>
                <w:rFonts w:hint="eastAsia" w:eastAsia="宋体"/>
                <w:color w:val="auto"/>
                <w:sz w:val="24"/>
                <w:szCs w:val="24"/>
                <w:highlight w:val="none"/>
                <w:lang w:eastAsia="zh-CN"/>
              </w:rPr>
              <w:t>成交供应商</w:t>
            </w:r>
            <w:r>
              <w:rPr>
                <w:rFonts w:hint="eastAsia"/>
                <w:color w:val="auto"/>
                <w:sz w:val="24"/>
                <w:szCs w:val="24"/>
                <w:highlight w:val="none"/>
              </w:rPr>
              <w:t>组织的相关培训学习、会议的</w:t>
            </w:r>
          </w:p>
        </w:tc>
        <w:tc>
          <w:tcPr>
            <w:tcW w:w="0" w:type="auto"/>
            <w:noWrap w:val="0"/>
            <w:vAlign w:val="center"/>
          </w:tcPr>
          <w:p w14:paraId="30F0947A">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4A3888EE">
            <w:pPr>
              <w:spacing w:line="360" w:lineRule="auto"/>
              <w:rPr>
                <w:rFonts w:hint="eastAsia"/>
                <w:color w:val="auto"/>
                <w:sz w:val="24"/>
                <w:szCs w:val="24"/>
                <w:highlight w:val="none"/>
              </w:rPr>
            </w:pPr>
          </w:p>
        </w:tc>
      </w:tr>
      <w:tr w14:paraId="6262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1D2BEB0">
            <w:pPr>
              <w:spacing w:line="360" w:lineRule="auto"/>
              <w:jc w:val="center"/>
              <w:rPr>
                <w:rFonts w:hint="eastAsia"/>
                <w:color w:val="auto"/>
                <w:sz w:val="24"/>
                <w:szCs w:val="24"/>
                <w:highlight w:val="none"/>
              </w:rPr>
            </w:pPr>
            <w:r>
              <w:rPr>
                <w:rFonts w:hint="eastAsia"/>
                <w:color w:val="auto"/>
                <w:sz w:val="24"/>
                <w:szCs w:val="24"/>
                <w:highlight w:val="none"/>
              </w:rPr>
              <w:t>6</w:t>
            </w:r>
          </w:p>
        </w:tc>
        <w:tc>
          <w:tcPr>
            <w:tcW w:w="0" w:type="auto"/>
            <w:noWrap w:val="0"/>
            <w:vAlign w:val="center"/>
          </w:tcPr>
          <w:p w14:paraId="36D7DDFE">
            <w:pPr>
              <w:spacing w:line="360" w:lineRule="auto"/>
              <w:rPr>
                <w:rFonts w:hint="eastAsia"/>
                <w:color w:val="auto"/>
                <w:sz w:val="24"/>
                <w:szCs w:val="24"/>
                <w:highlight w:val="none"/>
              </w:rPr>
            </w:pPr>
            <w:r>
              <w:rPr>
                <w:rFonts w:hint="eastAsia"/>
                <w:color w:val="auto"/>
                <w:sz w:val="24"/>
                <w:szCs w:val="24"/>
                <w:highlight w:val="none"/>
              </w:rPr>
              <w:t>违反培训、学习、会议纪律，有如交头接耳、玩手机、睡觉等不良行为</w:t>
            </w:r>
          </w:p>
        </w:tc>
        <w:tc>
          <w:tcPr>
            <w:tcW w:w="0" w:type="auto"/>
            <w:noWrap w:val="0"/>
            <w:vAlign w:val="center"/>
          </w:tcPr>
          <w:p w14:paraId="214ADD9F">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0.2分，每天上限扣2分</w:t>
            </w:r>
            <w:r>
              <w:rPr>
                <w:rFonts w:hint="eastAsia" w:eastAsia="宋体"/>
                <w:color w:val="auto"/>
                <w:sz w:val="24"/>
                <w:szCs w:val="24"/>
                <w:highlight w:val="none"/>
                <w:lang w:eastAsia="zh-CN"/>
              </w:rPr>
              <w:t>。</w:t>
            </w:r>
          </w:p>
        </w:tc>
        <w:tc>
          <w:tcPr>
            <w:tcW w:w="0" w:type="auto"/>
            <w:noWrap w:val="0"/>
            <w:vAlign w:val="center"/>
          </w:tcPr>
          <w:p w14:paraId="1F1C4971">
            <w:pPr>
              <w:spacing w:line="360" w:lineRule="auto"/>
              <w:rPr>
                <w:rFonts w:hint="eastAsia"/>
                <w:color w:val="auto"/>
                <w:sz w:val="24"/>
                <w:szCs w:val="24"/>
                <w:highlight w:val="none"/>
              </w:rPr>
            </w:pPr>
          </w:p>
        </w:tc>
      </w:tr>
      <w:tr w14:paraId="000E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5F4B9055">
            <w:pPr>
              <w:spacing w:line="360" w:lineRule="auto"/>
              <w:jc w:val="center"/>
              <w:rPr>
                <w:rFonts w:hint="eastAsia"/>
                <w:color w:val="auto"/>
                <w:sz w:val="24"/>
                <w:szCs w:val="24"/>
                <w:highlight w:val="none"/>
              </w:rPr>
            </w:pPr>
            <w:r>
              <w:rPr>
                <w:rFonts w:hint="eastAsia"/>
                <w:color w:val="auto"/>
                <w:sz w:val="24"/>
                <w:szCs w:val="24"/>
                <w:highlight w:val="none"/>
              </w:rPr>
              <w:t>7</w:t>
            </w:r>
          </w:p>
        </w:tc>
        <w:tc>
          <w:tcPr>
            <w:tcW w:w="0" w:type="auto"/>
            <w:noWrap w:val="0"/>
            <w:vAlign w:val="center"/>
          </w:tcPr>
          <w:p w14:paraId="3F6315D3">
            <w:pPr>
              <w:spacing w:line="360" w:lineRule="auto"/>
              <w:rPr>
                <w:rFonts w:hint="eastAsia"/>
                <w:color w:val="auto"/>
                <w:sz w:val="24"/>
                <w:szCs w:val="24"/>
                <w:highlight w:val="none"/>
              </w:rPr>
            </w:pPr>
            <w:r>
              <w:rPr>
                <w:rFonts w:hint="eastAsia"/>
                <w:color w:val="auto"/>
                <w:sz w:val="24"/>
                <w:szCs w:val="24"/>
                <w:highlight w:val="none"/>
              </w:rPr>
              <w:t>培训、学习考试不合格，补考后仍不合格的</w:t>
            </w:r>
          </w:p>
        </w:tc>
        <w:tc>
          <w:tcPr>
            <w:tcW w:w="0" w:type="auto"/>
            <w:noWrap w:val="0"/>
            <w:vAlign w:val="center"/>
          </w:tcPr>
          <w:p w14:paraId="67436A68">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6CACE92C">
            <w:pPr>
              <w:spacing w:line="360" w:lineRule="auto"/>
              <w:rPr>
                <w:rFonts w:hint="eastAsia"/>
                <w:color w:val="auto"/>
                <w:sz w:val="24"/>
                <w:szCs w:val="24"/>
                <w:highlight w:val="none"/>
              </w:rPr>
            </w:pPr>
          </w:p>
        </w:tc>
      </w:tr>
      <w:tr w14:paraId="3AF4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8754EF9">
            <w:pPr>
              <w:spacing w:line="360" w:lineRule="auto"/>
              <w:jc w:val="center"/>
              <w:rPr>
                <w:rFonts w:hint="eastAsia"/>
                <w:color w:val="auto"/>
                <w:sz w:val="24"/>
                <w:szCs w:val="24"/>
                <w:highlight w:val="none"/>
              </w:rPr>
            </w:pPr>
            <w:r>
              <w:rPr>
                <w:rFonts w:hint="eastAsia"/>
                <w:color w:val="auto"/>
                <w:sz w:val="24"/>
                <w:szCs w:val="24"/>
                <w:highlight w:val="none"/>
              </w:rPr>
              <w:t>8</w:t>
            </w:r>
          </w:p>
        </w:tc>
        <w:tc>
          <w:tcPr>
            <w:tcW w:w="0" w:type="auto"/>
            <w:noWrap w:val="0"/>
            <w:vAlign w:val="center"/>
          </w:tcPr>
          <w:p w14:paraId="69D6FADC">
            <w:pPr>
              <w:spacing w:line="360" w:lineRule="auto"/>
              <w:rPr>
                <w:rFonts w:hint="eastAsia"/>
                <w:color w:val="auto"/>
                <w:sz w:val="24"/>
                <w:szCs w:val="24"/>
                <w:highlight w:val="none"/>
              </w:rPr>
            </w:pPr>
            <w:r>
              <w:rPr>
                <w:rFonts w:hint="eastAsia"/>
                <w:color w:val="auto"/>
                <w:sz w:val="24"/>
                <w:szCs w:val="24"/>
                <w:highlight w:val="none"/>
              </w:rPr>
              <w:t>警容风纪检查时，装备不齐、衣冠不整、仪容不整洁等的</w:t>
            </w:r>
          </w:p>
        </w:tc>
        <w:tc>
          <w:tcPr>
            <w:tcW w:w="0" w:type="auto"/>
            <w:noWrap w:val="0"/>
            <w:vAlign w:val="center"/>
          </w:tcPr>
          <w:p w14:paraId="15BC9575">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15082F6C">
            <w:pPr>
              <w:spacing w:line="360" w:lineRule="auto"/>
              <w:rPr>
                <w:rFonts w:hint="eastAsia"/>
                <w:color w:val="auto"/>
                <w:sz w:val="24"/>
                <w:szCs w:val="24"/>
                <w:highlight w:val="none"/>
              </w:rPr>
            </w:pPr>
          </w:p>
        </w:tc>
      </w:tr>
      <w:tr w14:paraId="4CF4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15FF56C7">
            <w:pPr>
              <w:spacing w:line="360" w:lineRule="auto"/>
              <w:jc w:val="center"/>
              <w:rPr>
                <w:rFonts w:hint="eastAsia"/>
                <w:color w:val="auto"/>
                <w:sz w:val="24"/>
                <w:szCs w:val="24"/>
                <w:highlight w:val="none"/>
              </w:rPr>
            </w:pPr>
            <w:r>
              <w:rPr>
                <w:rFonts w:hint="eastAsia"/>
                <w:color w:val="auto"/>
                <w:sz w:val="24"/>
                <w:szCs w:val="24"/>
                <w:highlight w:val="none"/>
              </w:rPr>
              <w:t>9</w:t>
            </w:r>
          </w:p>
        </w:tc>
        <w:tc>
          <w:tcPr>
            <w:tcW w:w="0" w:type="auto"/>
            <w:noWrap w:val="0"/>
            <w:vAlign w:val="center"/>
          </w:tcPr>
          <w:p w14:paraId="276A582A">
            <w:pPr>
              <w:spacing w:line="360" w:lineRule="auto"/>
              <w:rPr>
                <w:rFonts w:hint="eastAsia"/>
                <w:color w:val="auto"/>
                <w:sz w:val="24"/>
                <w:szCs w:val="24"/>
                <w:highlight w:val="none"/>
              </w:rPr>
            </w:pPr>
            <w:r>
              <w:rPr>
                <w:rFonts w:hint="eastAsia"/>
                <w:color w:val="auto"/>
                <w:sz w:val="24"/>
                <w:szCs w:val="24"/>
                <w:highlight w:val="none"/>
              </w:rPr>
              <w:t>上班时间进行娱乐活动的（如玩手机或电脑游戏、看电视等）</w:t>
            </w:r>
          </w:p>
        </w:tc>
        <w:tc>
          <w:tcPr>
            <w:tcW w:w="0" w:type="auto"/>
            <w:noWrap w:val="0"/>
            <w:vAlign w:val="center"/>
          </w:tcPr>
          <w:p w14:paraId="05800851">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6F81DB9A">
            <w:pPr>
              <w:spacing w:line="360" w:lineRule="auto"/>
              <w:rPr>
                <w:rFonts w:hint="eastAsia"/>
                <w:color w:val="auto"/>
                <w:sz w:val="24"/>
                <w:szCs w:val="24"/>
                <w:highlight w:val="none"/>
              </w:rPr>
            </w:pPr>
          </w:p>
        </w:tc>
      </w:tr>
      <w:tr w14:paraId="649B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C7F24B4">
            <w:pPr>
              <w:spacing w:line="360" w:lineRule="auto"/>
              <w:jc w:val="center"/>
              <w:rPr>
                <w:rFonts w:hint="eastAsia"/>
                <w:color w:val="auto"/>
                <w:sz w:val="24"/>
                <w:szCs w:val="24"/>
                <w:highlight w:val="none"/>
              </w:rPr>
            </w:pPr>
            <w:r>
              <w:rPr>
                <w:rFonts w:hint="eastAsia"/>
                <w:color w:val="auto"/>
                <w:sz w:val="24"/>
                <w:szCs w:val="24"/>
                <w:highlight w:val="none"/>
              </w:rPr>
              <w:t>10</w:t>
            </w:r>
          </w:p>
        </w:tc>
        <w:tc>
          <w:tcPr>
            <w:tcW w:w="0" w:type="auto"/>
            <w:noWrap w:val="0"/>
            <w:vAlign w:val="center"/>
          </w:tcPr>
          <w:p w14:paraId="0A6CD47A">
            <w:pPr>
              <w:spacing w:line="360" w:lineRule="auto"/>
              <w:rPr>
                <w:rFonts w:hint="eastAsia"/>
                <w:color w:val="auto"/>
                <w:sz w:val="24"/>
                <w:szCs w:val="24"/>
                <w:highlight w:val="none"/>
              </w:rPr>
            </w:pPr>
            <w:r>
              <w:rPr>
                <w:rFonts w:hint="eastAsia"/>
                <w:color w:val="auto"/>
                <w:sz w:val="24"/>
                <w:szCs w:val="24"/>
                <w:highlight w:val="none"/>
              </w:rPr>
              <w:t>无故不接听工作电话，对工作造成影响的</w:t>
            </w:r>
          </w:p>
        </w:tc>
        <w:tc>
          <w:tcPr>
            <w:tcW w:w="0" w:type="auto"/>
            <w:noWrap w:val="0"/>
            <w:vAlign w:val="center"/>
          </w:tcPr>
          <w:p w14:paraId="060875E5">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0.5分；情节严重的，每人每次扣 1分，每天上限扣5分</w:t>
            </w:r>
            <w:r>
              <w:rPr>
                <w:rFonts w:hint="eastAsia" w:eastAsia="宋体"/>
                <w:color w:val="auto"/>
                <w:sz w:val="24"/>
                <w:szCs w:val="24"/>
                <w:highlight w:val="none"/>
                <w:lang w:eastAsia="zh-CN"/>
              </w:rPr>
              <w:t>。</w:t>
            </w:r>
          </w:p>
        </w:tc>
        <w:tc>
          <w:tcPr>
            <w:tcW w:w="0" w:type="auto"/>
            <w:noWrap w:val="0"/>
            <w:vAlign w:val="center"/>
          </w:tcPr>
          <w:p w14:paraId="0DB64CE0">
            <w:pPr>
              <w:spacing w:line="360" w:lineRule="auto"/>
              <w:rPr>
                <w:rFonts w:hint="eastAsia"/>
                <w:color w:val="auto"/>
                <w:sz w:val="24"/>
                <w:szCs w:val="24"/>
                <w:highlight w:val="none"/>
              </w:rPr>
            </w:pPr>
          </w:p>
        </w:tc>
      </w:tr>
      <w:tr w14:paraId="1BAC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0AD6854B">
            <w:pPr>
              <w:spacing w:line="360" w:lineRule="auto"/>
              <w:jc w:val="center"/>
              <w:rPr>
                <w:rFonts w:hint="eastAsia"/>
                <w:color w:val="auto"/>
                <w:sz w:val="24"/>
                <w:szCs w:val="24"/>
                <w:highlight w:val="none"/>
              </w:rPr>
            </w:pPr>
            <w:r>
              <w:rPr>
                <w:rFonts w:hint="eastAsia"/>
                <w:color w:val="auto"/>
                <w:sz w:val="24"/>
                <w:szCs w:val="24"/>
                <w:highlight w:val="none"/>
              </w:rPr>
              <w:t>11</w:t>
            </w:r>
          </w:p>
        </w:tc>
        <w:tc>
          <w:tcPr>
            <w:tcW w:w="0" w:type="auto"/>
            <w:noWrap w:val="0"/>
            <w:vAlign w:val="center"/>
          </w:tcPr>
          <w:p w14:paraId="31DB7A5E">
            <w:pPr>
              <w:spacing w:line="360" w:lineRule="auto"/>
              <w:rPr>
                <w:rFonts w:hint="eastAsia"/>
                <w:color w:val="auto"/>
                <w:sz w:val="24"/>
                <w:szCs w:val="24"/>
                <w:highlight w:val="none"/>
              </w:rPr>
            </w:pPr>
            <w:r>
              <w:rPr>
                <w:rFonts w:hint="eastAsia"/>
                <w:color w:val="auto"/>
                <w:sz w:val="24"/>
                <w:szCs w:val="24"/>
                <w:highlight w:val="none"/>
              </w:rPr>
              <w:t>诽谤、诬告他人，挑拨离间，拉帮结派，或滋事生非，打架闹事，影响团结</w:t>
            </w:r>
          </w:p>
        </w:tc>
        <w:tc>
          <w:tcPr>
            <w:tcW w:w="0" w:type="auto"/>
            <w:noWrap w:val="0"/>
            <w:vAlign w:val="center"/>
          </w:tcPr>
          <w:p w14:paraId="7F24A49C">
            <w:pPr>
              <w:spacing w:line="360" w:lineRule="auto"/>
              <w:rPr>
                <w:rFonts w:hint="eastAsia" w:eastAsia="宋体"/>
                <w:color w:val="auto"/>
                <w:sz w:val="24"/>
                <w:szCs w:val="24"/>
                <w:highlight w:val="none"/>
                <w:lang w:eastAsia="zh-CN"/>
              </w:rPr>
            </w:pPr>
            <w:r>
              <w:rPr>
                <w:rFonts w:hint="eastAsia"/>
                <w:color w:val="auto"/>
                <w:sz w:val="24"/>
                <w:szCs w:val="24"/>
                <w:highlight w:val="none"/>
              </w:rPr>
              <w:t>未造成恶劣影响的，每人每次扣0.5分；造成恶劣影响的，每人每次扣1分。每天上限5分</w:t>
            </w:r>
            <w:r>
              <w:rPr>
                <w:rFonts w:hint="eastAsia" w:eastAsia="宋体"/>
                <w:color w:val="auto"/>
                <w:sz w:val="24"/>
                <w:szCs w:val="24"/>
                <w:highlight w:val="none"/>
                <w:lang w:eastAsia="zh-CN"/>
              </w:rPr>
              <w:t>。</w:t>
            </w:r>
          </w:p>
        </w:tc>
        <w:tc>
          <w:tcPr>
            <w:tcW w:w="0" w:type="auto"/>
            <w:noWrap w:val="0"/>
            <w:vAlign w:val="center"/>
          </w:tcPr>
          <w:p w14:paraId="0B631988">
            <w:pPr>
              <w:spacing w:line="360" w:lineRule="auto"/>
              <w:rPr>
                <w:rFonts w:hint="eastAsia"/>
                <w:color w:val="auto"/>
                <w:sz w:val="24"/>
                <w:szCs w:val="24"/>
                <w:highlight w:val="none"/>
              </w:rPr>
            </w:pPr>
          </w:p>
        </w:tc>
      </w:tr>
      <w:tr w14:paraId="6FDB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noWrap w:val="0"/>
            <w:vAlign w:val="center"/>
          </w:tcPr>
          <w:p w14:paraId="69164B5F">
            <w:pPr>
              <w:spacing w:line="360" w:lineRule="auto"/>
              <w:jc w:val="center"/>
              <w:rPr>
                <w:rFonts w:hint="eastAsia"/>
                <w:color w:val="auto"/>
                <w:sz w:val="24"/>
                <w:szCs w:val="24"/>
                <w:highlight w:val="none"/>
              </w:rPr>
            </w:pPr>
            <w:r>
              <w:rPr>
                <w:rFonts w:hint="eastAsia"/>
                <w:color w:val="auto"/>
                <w:sz w:val="24"/>
                <w:szCs w:val="24"/>
                <w:highlight w:val="none"/>
              </w:rPr>
              <w:t>12</w:t>
            </w:r>
          </w:p>
        </w:tc>
        <w:tc>
          <w:tcPr>
            <w:tcW w:w="0" w:type="auto"/>
            <w:noWrap w:val="0"/>
            <w:vAlign w:val="center"/>
          </w:tcPr>
          <w:p w14:paraId="03DB41B6">
            <w:pPr>
              <w:spacing w:line="360" w:lineRule="auto"/>
              <w:rPr>
                <w:rFonts w:hint="eastAsia"/>
                <w:color w:val="auto"/>
                <w:sz w:val="24"/>
                <w:szCs w:val="24"/>
                <w:highlight w:val="none"/>
              </w:rPr>
            </w:pPr>
            <w:r>
              <w:rPr>
                <w:rFonts w:hint="eastAsia"/>
                <w:color w:val="auto"/>
                <w:sz w:val="24"/>
                <w:szCs w:val="24"/>
                <w:highlight w:val="none"/>
              </w:rPr>
              <w:t>被群众投诉工作违规，经查证属实的</w:t>
            </w:r>
          </w:p>
        </w:tc>
        <w:tc>
          <w:tcPr>
            <w:tcW w:w="0" w:type="auto"/>
            <w:noWrap w:val="0"/>
            <w:vAlign w:val="center"/>
          </w:tcPr>
          <w:p w14:paraId="0809EBAA">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1分，每天上限扣5分</w:t>
            </w:r>
            <w:r>
              <w:rPr>
                <w:rFonts w:hint="eastAsia" w:eastAsia="宋体"/>
                <w:color w:val="auto"/>
                <w:sz w:val="24"/>
                <w:szCs w:val="24"/>
                <w:highlight w:val="none"/>
                <w:lang w:eastAsia="zh-CN"/>
              </w:rPr>
              <w:t>。</w:t>
            </w:r>
          </w:p>
        </w:tc>
        <w:tc>
          <w:tcPr>
            <w:tcW w:w="0" w:type="auto"/>
            <w:noWrap w:val="0"/>
            <w:vAlign w:val="center"/>
          </w:tcPr>
          <w:p w14:paraId="37D2B3F9">
            <w:pPr>
              <w:spacing w:line="360" w:lineRule="auto"/>
              <w:rPr>
                <w:rFonts w:hint="eastAsia"/>
                <w:color w:val="auto"/>
                <w:sz w:val="24"/>
                <w:szCs w:val="24"/>
                <w:highlight w:val="none"/>
              </w:rPr>
            </w:pPr>
          </w:p>
        </w:tc>
      </w:tr>
      <w:tr w14:paraId="3FB0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80AAF66">
            <w:pPr>
              <w:spacing w:line="360" w:lineRule="auto"/>
              <w:jc w:val="center"/>
              <w:rPr>
                <w:rFonts w:hint="eastAsia"/>
                <w:color w:val="auto"/>
                <w:sz w:val="24"/>
                <w:szCs w:val="24"/>
                <w:highlight w:val="none"/>
              </w:rPr>
            </w:pPr>
            <w:r>
              <w:rPr>
                <w:rFonts w:hint="eastAsia"/>
                <w:color w:val="auto"/>
                <w:sz w:val="24"/>
                <w:szCs w:val="24"/>
                <w:highlight w:val="none"/>
              </w:rPr>
              <w:t>13</w:t>
            </w:r>
          </w:p>
        </w:tc>
        <w:tc>
          <w:tcPr>
            <w:tcW w:w="0" w:type="auto"/>
            <w:noWrap w:val="0"/>
            <w:vAlign w:val="center"/>
          </w:tcPr>
          <w:p w14:paraId="497FD541">
            <w:pPr>
              <w:spacing w:line="360" w:lineRule="auto"/>
              <w:rPr>
                <w:rFonts w:hint="eastAsia"/>
                <w:color w:val="auto"/>
                <w:sz w:val="24"/>
                <w:szCs w:val="24"/>
                <w:highlight w:val="none"/>
              </w:rPr>
            </w:pPr>
            <w:r>
              <w:rPr>
                <w:rFonts w:hint="eastAsia"/>
                <w:color w:val="auto"/>
                <w:sz w:val="24"/>
                <w:szCs w:val="24"/>
                <w:highlight w:val="none"/>
              </w:rPr>
              <w:t>违反相关规定，违反公安纪律，被人投诉，经查属实的</w:t>
            </w:r>
          </w:p>
        </w:tc>
        <w:tc>
          <w:tcPr>
            <w:tcW w:w="0" w:type="auto"/>
            <w:noWrap w:val="0"/>
            <w:vAlign w:val="center"/>
          </w:tcPr>
          <w:p w14:paraId="5D56F76D">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2分；情节严重的，扣 5分或予以辞退，每天上限扣10分</w:t>
            </w:r>
            <w:r>
              <w:rPr>
                <w:rFonts w:hint="eastAsia" w:eastAsia="宋体"/>
                <w:color w:val="auto"/>
                <w:sz w:val="24"/>
                <w:szCs w:val="24"/>
                <w:highlight w:val="none"/>
                <w:lang w:eastAsia="zh-CN"/>
              </w:rPr>
              <w:t>。</w:t>
            </w:r>
          </w:p>
        </w:tc>
        <w:tc>
          <w:tcPr>
            <w:tcW w:w="0" w:type="auto"/>
            <w:noWrap w:val="0"/>
            <w:vAlign w:val="center"/>
          </w:tcPr>
          <w:p w14:paraId="4D370531">
            <w:pPr>
              <w:spacing w:line="360" w:lineRule="auto"/>
              <w:rPr>
                <w:rFonts w:hint="eastAsia"/>
                <w:color w:val="auto"/>
                <w:sz w:val="24"/>
                <w:szCs w:val="24"/>
                <w:highlight w:val="none"/>
              </w:rPr>
            </w:pPr>
          </w:p>
        </w:tc>
      </w:tr>
      <w:tr w14:paraId="711E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9703E7B">
            <w:pPr>
              <w:spacing w:line="360" w:lineRule="auto"/>
              <w:jc w:val="center"/>
              <w:rPr>
                <w:rFonts w:hint="eastAsia"/>
                <w:color w:val="auto"/>
                <w:sz w:val="24"/>
                <w:szCs w:val="24"/>
                <w:highlight w:val="none"/>
              </w:rPr>
            </w:pPr>
            <w:r>
              <w:rPr>
                <w:rFonts w:hint="eastAsia"/>
                <w:color w:val="auto"/>
                <w:sz w:val="24"/>
                <w:szCs w:val="24"/>
                <w:highlight w:val="none"/>
              </w:rPr>
              <w:t>14</w:t>
            </w:r>
          </w:p>
        </w:tc>
        <w:tc>
          <w:tcPr>
            <w:tcW w:w="0" w:type="auto"/>
            <w:noWrap w:val="0"/>
            <w:vAlign w:val="center"/>
          </w:tcPr>
          <w:p w14:paraId="6F12DAE5">
            <w:pPr>
              <w:spacing w:line="360" w:lineRule="auto"/>
              <w:rPr>
                <w:rFonts w:hint="eastAsia"/>
                <w:color w:val="auto"/>
                <w:sz w:val="24"/>
                <w:szCs w:val="24"/>
                <w:highlight w:val="none"/>
              </w:rPr>
            </w:pPr>
            <w:r>
              <w:rPr>
                <w:rFonts w:hint="eastAsia"/>
                <w:color w:val="auto"/>
                <w:sz w:val="24"/>
                <w:szCs w:val="24"/>
                <w:highlight w:val="none"/>
              </w:rPr>
              <w:t>工作态度消极，出勤不出力，遇事推诿或弄虚作假，</w:t>
            </w:r>
            <w:r>
              <w:rPr>
                <w:rFonts w:hint="eastAsia"/>
                <w:color w:val="auto"/>
                <w:spacing w:val="-6"/>
                <w:sz w:val="24"/>
                <w:szCs w:val="24"/>
                <w:highlight w:val="none"/>
              </w:rPr>
              <w:t>欺下瞒上，未造成恶劣影响的</w:t>
            </w:r>
          </w:p>
        </w:tc>
        <w:tc>
          <w:tcPr>
            <w:tcW w:w="0" w:type="auto"/>
            <w:noWrap w:val="0"/>
            <w:vAlign w:val="center"/>
          </w:tcPr>
          <w:p w14:paraId="58379B37">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1分，每天上限扣10分</w:t>
            </w:r>
            <w:r>
              <w:rPr>
                <w:rFonts w:hint="eastAsia" w:eastAsia="宋体"/>
                <w:color w:val="auto"/>
                <w:sz w:val="24"/>
                <w:szCs w:val="24"/>
                <w:highlight w:val="none"/>
                <w:lang w:eastAsia="zh-CN"/>
              </w:rPr>
              <w:t>。</w:t>
            </w:r>
          </w:p>
        </w:tc>
        <w:tc>
          <w:tcPr>
            <w:tcW w:w="0" w:type="auto"/>
            <w:noWrap w:val="0"/>
            <w:vAlign w:val="center"/>
          </w:tcPr>
          <w:p w14:paraId="71FBC0A0">
            <w:pPr>
              <w:spacing w:line="360" w:lineRule="auto"/>
              <w:rPr>
                <w:rFonts w:hint="eastAsia"/>
                <w:color w:val="auto"/>
                <w:sz w:val="24"/>
                <w:szCs w:val="24"/>
                <w:highlight w:val="none"/>
              </w:rPr>
            </w:pPr>
          </w:p>
        </w:tc>
      </w:tr>
      <w:tr w14:paraId="5F96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402F6CE">
            <w:pPr>
              <w:spacing w:line="360" w:lineRule="auto"/>
              <w:jc w:val="center"/>
              <w:rPr>
                <w:rFonts w:hint="eastAsia"/>
                <w:color w:val="auto"/>
                <w:sz w:val="24"/>
                <w:szCs w:val="24"/>
                <w:highlight w:val="none"/>
              </w:rPr>
            </w:pPr>
            <w:r>
              <w:rPr>
                <w:rFonts w:hint="eastAsia"/>
                <w:color w:val="auto"/>
                <w:sz w:val="24"/>
                <w:szCs w:val="24"/>
                <w:highlight w:val="none"/>
              </w:rPr>
              <w:t>15</w:t>
            </w:r>
          </w:p>
        </w:tc>
        <w:tc>
          <w:tcPr>
            <w:tcW w:w="0" w:type="auto"/>
            <w:noWrap w:val="0"/>
            <w:vAlign w:val="center"/>
          </w:tcPr>
          <w:p w14:paraId="4D31016D">
            <w:pPr>
              <w:spacing w:line="360" w:lineRule="auto"/>
              <w:rPr>
                <w:rFonts w:hint="eastAsia"/>
                <w:color w:val="auto"/>
                <w:sz w:val="24"/>
                <w:szCs w:val="24"/>
                <w:highlight w:val="none"/>
              </w:rPr>
            </w:pPr>
            <w:r>
              <w:rPr>
                <w:rFonts w:hint="eastAsia"/>
                <w:color w:val="auto"/>
                <w:sz w:val="24"/>
                <w:szCs w:val="24"/>
                <w:highlight w:val="none"/>
              </w:rPr>
              <w:t>不执行上级（含</w:t>
            </w:r>
            <w:r>
              <w:rPr>
                <w:rFonts w:hint="eastAsia" w:eastAsia="宋体"/>
                <w:color w:val="auto"/>
                <w:sz w:val="24"/>
                <w:szCs w:val="24"/>
                <w:highlight w:val="none"/>
                <w:lang w:eastAsia="zh-CN"/>
              </w:rPr>
              <w:t>采购人</w:t>
            </w:r>
            <w:r>
              <w:rPr>
                <w:rFonts w:hint="eastAsia"/>
                <w:color w:val="auto"/>
                <w:sz w:val="24"/>
                <w:szCs w:val="24"/>
                <w:highlight w:val="none"/>
              </w:rPr>
              <w:t>）的决定和命令，不服从工作安排的</w:t>
            </w:r>
          </w:p>
        </w:tc>
        <w:tc>
          <w:tcPr>
            <w:tcW w:w="0" w:type="auto"/>
            <w:noWrap w:val="0"/>
            <w:vAlign w:val="center"/>
          </w:tcPr>
          <w:p w14:paraId="1004AF92">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每人每次扣2分，每天上限扣10分</w:t>
            </w:r>
            <w:r>
              <w:rPr>
                <w:rFonts w:hint="eastAsia" w:eastAsia="宋体"/>
                <w:color w:val="auto"/>
                <w:sz w:val="24"/>
                <w:szCs w:val="24"/>
                <w:highlight w:val="none"/>
                <w:lang w:eastAsia="zh-CN"/>
              </w:rPr>
              <w:t>。</w:t>
            </w:r>
          </w:p>
        </w:tc>
        <w:tc>
          <w:tcPr>
            <w:tcW w:w="0" w:type="auto"/>
            <w:noWrap w:val="0"/>
            <w:vAlign w:val="center"/>
          </w:tcPr>
          <w:p w14:paraId="619024AF">
            <w:pPr>
              <w:spacing w:line="360" w:lineRule="auto"/>
              <w:rPr>
                <w:rFonts w:hint="eastAsia"/>
                <w:color w:val="auto"/>
                <w:sz w:val="24"/>
                <w:szCs w:val="24"/>
                <w:highlight w:val="none"/>
              </w:rPr>
            </w:pPr>
          </w:p>
        </w:tc>
      </w:tr>
      <w:tr w14:paraId="4154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2AF4B4BB">
            <w:pPr>
              <w:spacing w:line="360" w:lineRule="auto"/>
              <w:jc w:val="center"/>
              <w:rPr>
                <w:rFonts w:hint="eastAsia"/>
                <w:color w:val="auto"/>
                <w:sz w:val="24"/>
                <w:szCs w:val="24"/>
                <w:highlight w:val="none"/>
              </w:rPr>
            </w:pPr>
            <w:r>
              <w:rPr>
                <w:rFonts w:hint="eastAsia"/>
                <w:color w:val="auto"/>
                <w:sz w:val="24"/>
                <w:szCs w:val="24"/>
                <w:highlight w:val="none"/>
              </w:rPr>
              <w:t>16</w:t>
            </w:r>
          </w:p>
        </w:tc>
        <w:tc>
          <w:tcPr>
            <w:tcW w:w="0" w:type="auto"/>
            <w:noWrap w:val="0"/>
            <w:vAlign w:val="center"/>
          </w:tcPr>
          <w:p w14:paraId="2368DC5A">
            <w:pPr>
              <w:spacing w:line="360" w:lineRule="auto"/>
              <w:rPr>
                <w:rFonts w:hint="eastAsia"/>
                <w:color w:val="auto"/>
                <w:sz w:val="24"/>
                <w:szCs w:val="24"/>
                <w:highlight w:val="none"/>
              </w:rPr>
            </w:pPr>
            <w:r>
              <w:rPr>
                <w:rFonts w:hint="eastAsia"/>
                <w:color w:val="auto"/>
                <w:sz w:val="24"/>
                <w:szCs w:val="24"/>
                <w:highlight w:val="none"/>
              </w:rPr>
              <w:t>其它违反工作纪律制度的行为</w:t>
            </w:r>
          </w:p>
        </w:tc>
        <w:tc>
          <w:tcPr>
            <w:tcW w:w="0" w:type="auto"/>
            <w:noWrap w:val="0"/>
            <w:vAlign w:val="center"/>
          </w:tcPr>
          <w:p w14:paraId="30DADF49">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1分；情节严重的，每人每次扣 2.5分，每天上限扣5分</w:t>
            </w:r>
            <w:r>
              <w:rPr>
                <w:rFonts w:hint="eastAsia" w:eastAsia="宋体"/>
                <w:color w:val="auto"/>
                <w:sz w:val="24"/>
                <w:szCs w:val="24"/>
                <w:highlight w:val="none"/>
                <w:lang w:eastAsia="zh-CN"/>
              </w:rPr>
              <w:t>。</w:t>
            </w:r>
          </w:p>
        </w:tc>
        <w:tc>
          <w:tcPr>
            <w:tcW w:w="0" w:type="auto"/>
            <w:noWrap w:val="0"/>
            <w:vAlign w:val="center"/>
          </w:tcPr>
          <w:p w14:paraId="365E6CB9">
            <w:pPr>
              <w:spacing w:line="360" w:lineRule="auto"/>
              <w:rPr>
                <w:rFonts w:hint="eastAsia"/>
                <w:color w:val="auto"/>
                <w:sz w:val="24"/>
                <w:szCs w:val="24"/>
                <w:highlight w:val="none"/>
              </w:rPr>
            </w:pPr>
          </w:p>
        </w:tc>
      </w:tr>
      <w:tr w14:paraId="1C2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noWrap w:val="0"/>
            <w:vAlign w:val="center"/>
          </w:tcPr>
          <w:p w14:paraId="384EE7DB">
            <w:pPr>
              <w:spacing w:line="360" w:lineRule="auto"/>
              <w:jc w:val="center"/>
              <w:rPr>
                <w:rFonts w:hint="eastAsia" w:eastAsia="宋体"/>
                <w:color w:val="auto"/>
                <w:sz w:val="24"/>
                <w:szCs w:val="24"/>
                <w:highlight w:val="none"/>
                <w:lang w:val="en-US" w:eastAsia="zh-CN"/>
              </w:rPr>
            </w:pPr>
            <w:r>
              <w:rPr>
                <w:rFonts w:hint="eastAsia" w:ascii="Calibri" w:eastAsia="宋体"/>
                <w:color w:val="auto"/>
                <w:sz w:val="24"/>
                <w:szCs w:val="24"/>
                <w:highlight w:val="none"/>
                <w:lang w:val="en-US" w:eastAsia="zh-CN"/>
              </w:rPr>
              <w:t>17</w:t>
            </w:r>
          </w:p>
        </w:tc>
        <w:tc>
          <w:tcPr>
            <w:tcW w:w="0" w:type="auto"/>
            <w:noWrap w:val="0"/>
            <w:vAlign w:val="center"/>
          </w:tcPr>
          <w:p w14:paraId="1CA0F295">
            <w:pPr>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对于采购人在项目服务范围内提出的服务要求和工作要求，成交供应商不及时执行或拒不执行的</w:t>
            </w:r>
          </w:p>
        </w:tc>
        <w:tc>
          <w:tcPr>
            <w:tcW w:w="0" w:type="auto"/>
            <w:noWrap w:val="0"/>
            <w:vAlign w:val="center"/>
          </w:tcPr>
          <w:p w14:paraId="5083CF01">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不及时执行的，每次扣</w:t>
            </w:r>
            <w:r>
              <w:rPr>
                <w:rFonts w:hint="eastAsia" w:ascii="Calibri" w:eastAsia="宋体"/>
                <w:color w:val="auto"/>
                <w:sz w:val="24"/>
                <w:szCs w:val="24"/>
                <w:highlight w:val="none"/>
                <w:lang w:val="en-US" w:eastAsia="zh-CN"/>
              </w:rPr>
              <w:t>5分；拒不执行的，每次扣10分。</w:t>
            </w:r>
          </w:p>
        </w:tc>
        <w:tc>
          <w:tcPr>
            <w:tcW w:w="0" w:type="auto"/>
            <w:noWrap w:val="0"/>
            <w:vAlign w:val="center"/>
          </w:tcPr>
          <w:p w14:paraId="0D3645D9">
            <w:pPr>
              <w:spacing w:line="360" w:lineRule="auto"/>
              <w:rPr>
                <w:rFonts w:hint="eastAsia"/>
                <w:color w:val="auto"/>
                <w:sz w:val="24"/>
                <w:szCs w:val="24"/>
                <w:highlight w:val="none"/>
                <w:lang w:eastAsia="zh-CN"/>
              </w:rPr>
            </w:pPr>
          </w:p>
        </w:tc>
      </w:tr>
      <w:tr w14:paraId="6D4D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0" w:type="auto"/>
            <w:noWrap w:val="0"/>
            <w:vAlign w:val="center"/>
          </w:tcPr>
          <w:p w14:paraId="78FBEB16">
            <w:pPr>
              <w:spacing w:line="360" w:lineRule="auto"/>
              <w:jc w:val="center"/>
              <w:rPr>
                <w:rFonts w:hint="eastAsia"/>
                <w:color w:val="auto"/>
                <w:sz w:val="24"/>
                <w:szCs w:val="24"/>
                <w:highlight w:val="none"/>
                <w:lang w:val="en-US" w:eastAsia="zh-CN"/>
              </w:rPr>
            </w:pPr>
            <w:r>
              <w:rPr>
                <w:rFonts w:hint="eastAsia" w:ascii="Calibri" w:eastAsia="宋体"/>
                <w:color w:val="auto"/>
                <w:sz w:val="24"/>
                <w:szCs w:val="24"/>
                <w:highlight w:val="none"/>
                <w:lang w:val="en-US" w:eastAsia="zh-CN"/>
              </w:rPr>
              <w:t>18</w:t>
            </w:r>
          </w:p>
        </w:tc>
        <w:tc>
          <w:tcPr>
            <w:tcW w:w="0" w:type="auto"/>
            <w:noWrap w:val="0"/>
            <w:vAlign w:val="center"/>
          </w:tcPr>
          <w:p w14:paraId="0A2F42B3">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对于采购人在考核、日常检查中发现的问题，不及时整改或拒不整改的</w:t>
            </w:r>
          </w:p>
        </w:tc>
        <w:tc>
          <w:tcPr>
            <w:tcW w:w="0" w:type="auto"/>
            <w:noWrap w:val="0"/>
            <w:vAlign w:val="center"/>
          </w:tcPr>
          <w:p w14:paraId="370AE26C">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不及时整改的，每次扣</w:t>
            </w:r>
            <w:r>
              <w:rPr>
                <w:rFonts w:hint="eastAsia" w:ascii="Calibri" w:eastAsia="宋体"/>
                <w:color w:val="auto"/>
                <w:sz w:val="24"/>
                <w:szCs w:val="24"/>
                <w:highlight w:val="none"/>
                <w:lang w:val="en-US" w:eastAsia="zh-CN"/>
              </w:rPr>
              <w:t>5分；拒不整改的，每次扣10分。</w:t>
            </w:r>
          </w:p>
        </w:tc>
        <w:tc>
          <w:tcPr>
            <w:tcW w:w="0" w:type="auto"/>
            <w:noWrap w:val="0"/>
            <w:vAlign w:val="center"/>
          </w:tcPr>
          <w:p w14:paraId="2CA241D8">
            <w:pPr>
              <w:spacing w:line="360" w:lineRule="auto"/>
              <w:rPr>
                <w:rFonts w:hint="eastAsia"/>
                <w:color w:val="auto"/>
                <w:sz w:val="24"/>
                <w:szCs w:val="24"/>
                <w:highlight w:val="none"/>
                <w:lang w:eastAsia="zh-CN"/>
              </w:rPr>
            </w:pPr>
          </w:p>
        </w:tc>
      </w:tr>
      <w:tr w14:paraId="0E3C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gridSpan w:val="2"/>
            <w:noWrap w:val="0"/>
            <w:vAlign w:val="center"/>
          </w:tcPr>
          <w:p w14:paraId="525715C5">
            <w:pPr>
              <w:spacing w:line="360" w:lineRule="auto"/>
              <w:jc w:val="center"/>
              <w:rPr>
                <w:rFonts w:hint="default"/>
                <w:color w:val="auto"/>
                <w:sz w:val="24"/>
                <w:szCs w:val="24"/>
                <w:highlight w:val="none"/>
                <w:lang w:val="en-US" w:eastAsia="zh-CN"/>
              </w:rPr>
            </w:pPr>
            <w:r>
              <w:rPr>
                <w:rFonts w:hint="eastAsia" w:ascii="Calibri" w:eastAsia="宋体"/>
                <w:color w:val="auto"/>
                <w:sz w:val="24"/>
                <w:szCs w:val="24"/>
                <w:highlight w:val="none"/>
                <w:lang w:val="en-US" w:eastAsia="zh-CN"/>
              </w:rPr>
              <w:t>合计</w:t>
            </w:r>
          </w:p>
        </w:tc>
        <w:tc>
          <w:tcPr>
            <w:tcW w:w="0" w:type="auto"/>
            <w:gridSpan w:val="2"/>
            <w:noWrap w:val="0"/>
            <w:vAlign w:val="center"/>
          </w:tcPr>
          <w:p w14:paraId="162759DB">
            <w:pPr>
              <w:spacing w:line="360" w:lineRule="auto"/>
              <w:rPr>
                <w:rFonts w:hint="eastAsia"/>
                <w:color w:val="auto"/>
                <w:sz w:val="24"/>
                <w:szCs w:val="24"/>
                <w:highlight w:val="none"/>
                <w:lang w:eastAsia="zh-CN"/>
              </w:rPr>
            </w:pPr>
          </w:p>
        </w:tc>
      </w:tr>
    </w:tbl>
    <w:p w14:paraId="22AEA00D">
      <w:pPr>
        <w:widowControl w:val="0"/>
        <w:numPr>
          <w:ilvl w:val="0"/>
          <w:numId w:val="0"/>
        </w:numPr>
        <w:snapToGrid w:val="0"/>
        <w:jc w:val="left"/>
        <w:rPr>
          <w:rFonts w:hint="eastAsia" w:ascii="宋体" w:hAnsi="宋体" w:eastAsia="宋体" w:cs="Times New Roman"/>
          <w:kern w:val="0"/>
          <w:sz w:val="28"/>
          <w:szCs w:val="22"/>
          <w:lang w:val="en-US" w:eastAsia="zh-CN" w:bidi="ar-SA"/>
        </w:rPr>
      </w:pPr>
    </w:p>
    <w:p w14:paraId="06B8DDFB">
      <w:pPr>
        <w:numPr>
          <w:ilvl w:val="0"/>
          <w:numId w:val="0"/>
        </w:numPr>
        <w:autoSpaceDE w:val="0"/>
        <w:autoSpaceDN w:val="0"/>
        <w:adjustRightInd w:val="0"/>
        <w:spacing w:line="360" w:lineRule="auto"/>
        <w:ind w:leftChars="-10"/>
        <w:jc w:val="left"/>
        <w:outlineLvl w:val="2"/>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9、其它要求</w:t>
      </w:r>
    </w:p>
    <w:p w14:paraId="1C1CDA6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供应商需具备有效的企业认证证书、具有同类项目服务经验、获得过相关部门的认可、响应及时快速、项目经理具有与本项目相关的证书。同时做好项目实施方案，服务团队稳定性保障、团队培训及考核方案、突发事件应急管理方案、企业管理方案等相关方案。</w:t>
      </w:r>
    </w:p>
    <w:p w14:paraId="6FC5B74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Times New Roman"/>
          <w:color w:val="auto"/>
          <w:kern w:val="2"/>
          <w:sz w:val="32"/>
          <w:szCs w:val="24"/>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br w:type="page"/>
      </w:r>
      <w:r>
        <w:rPr>
          <w:rFonts w:hint="eastAsia" w:ascii="宋体" w:hAnsi="宋体" w:eastAsia="宋体" w:cs="宋体"/>
          <w:b/>
          <w:bCs/>
          <w:color w:val="auto"/>
          <w:kern w:val="44"/>
          <w:sz w:val="32"/>
          <w:szCs w:val="44"/>
          <w:highlight w:val="none"/>
          <w:lang w:val="en-US" w:eastAsia="zh-CN" w:bidi="ar-SA"/>
        </w:rPr>
        <w:t>第三部分  供应商须知</w:t>
      </w:r>
      <w:bookmarkEnd w:id="9"/>
      <w:bookmarkEnd w:id="10"/>
      <w:bookmarkStart w:id="11" w:name="_Toc19882"/>
    </w:p>
    <w:p w14:paraId="6D234FD7">
      <w:pPr>
        <w:keepNext/>
        <w:keepLines/>
        <w:widowControl w:val="0"/>
        <w:jc w:val="center"/>
        <w:outlineLvl w:val="0"/>
        <w:rPr>
          <w:rFonts w:hint="eastAsia" w:ascii="Times New Roman" w:hAnsi="Times New Roman" w:eastAsia="宋体" w:cs="Times New Roman"/>
          <w:b/>
          <w:bCs/>
          <w:color w:val="auto"/>
          <w:kern w:val="44"/>
          <w:sz w:val="28"/>
          <w:szCs w:val="44"/>
          <w:highlight w:val="none"/>
          <w:lang w:val="en-US" w:eastAsia="zh-CN" w:bidi="ar-SA"/>
        </w:rPr>
      </w:pPr>
      <w:bookmarkStart w:id="12" w:name="_Toc6477"/>
      <w:r>
        <w:rPr>
          <w:rFonts w:hint="eastAsia" w:ascii="Times New Roman" w:hAnsi="Times New Roman" w:eastAsia="宋体" w:cs="Times New Roman"/>
          <w:b/>
          <w:bCs/>
          <w:color w:val="auto"/>
          <w:kern w:val="44"/>
          <w:sz w:val="28"/>
          <w:szCs w:val="44"/>
          <w:highlight w:val="none"/>
          <w:lang w:val="en-US" w:eastAsia="zh-CN" w:bidi="ar-SA"/>
        </w:rPr>
        <w:t>一、供应商须知前附表</w:t>
      </w:r>
      <w:bookmarkEnd w:id="11"/>
      <w:bookmarkEnd w:id="12"/>
    </w:p>
    <w:tbl>
      <w:tblPr>
        <w:tblStyle w:val="1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16"/>
        <w:gridCol w:w="6560"/>
      </w:tblGrid>
      <w:tr w14:paraId="4A73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733" w:type="dxa"/>
            <w:shd w:val="clear" w:color="auto" w:fill="F3F3F3"/>
            <w:noWrap w:val="0"/>
            <w:vAlign w:val="center"/>
          </w:tcPr>
          <w:p w14:paraId="579FDBA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序号</w:t>
            </w:r>
          </w:p>
        </w:tc>
        <w:tc>
          <w:tcPr>
            <w:tcW w:w="2116" w:type="dxa"/>
            <w:shd w:val="clear" w:color="auto" w:fill="F3F3F3"/>
            <w:noWrap w:val="0"/>
            <w:vAlign w:val="center"/>
          </w:tcPr>
          <w:p w14:paraId="457E6E2E">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项目</w:t>
            </w:r>
          </w:p>
        </w:tc>
        <w:tc>
          <w:tcPr>
            <w:tcW w:w="6560" w:type="dxa"/>
            <w:shd w:val="clear" w:color="auto" w:fill="F3F3F3"/>
            <w:noWrap w:val="0"/>
            <w:vAlign w:val="center"/>
          </w:tcPr>
          <w:p w14:paraId="14D86AC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编列内容</w:t>
            </w:r>
          </w:p>
        </w:tc>
      </w:tr>
      <w:tr w14:paraId="6C19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3" w:type="dxa"/>
            <w:noWrap w:val="0"/>
            <w:vAlign w:val="center"/>
          </w:tcPr>
          <w:p w14:paraId="1F93B840">
            <w:pPr>
              <w:keepNext w:val="0"/>
              <w:keepLines w:val="0"/>
              <w:pageBreakBefore w:val="0"/>
              <w:widowControl w:val="0"/>
              <w:tabs>
                <w:tab w:val="left" w:pos="180"/>
              </w:tabs>
              <w:kinsoku/>
              <w:wordWrap/>
              <w:overflowPunct/>
              <w:topLinePunct w:val="0"/>
              <w:autoSpaceDE/>
              <w:autoSpaceDN/>
              <w:bidi w:val="0"/>
              <w:adjustRightIn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1</w:t>
            </w:r>
          </w:p>
        </w:tc>
        <w:tc>
          <w:tcPr>
            <w:tcW w:w="2116" w:type="dxa"/>
            <w:noWrap w:val="0"/>
            <w:vAlign w:val="center"/>
          </w:tcPr>
          <w:p w14:paraId="0C5EB7D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最高</w:t>
            </w:r>
            <w:r>
              <w:rPr>
                <w:rFonts w:hint="eastAsia" w:ascii="宋体" w:hAnsi="宋体" w:cs="宋体"/>
                <w:color w:val="auto"/>
                <w:szCs w:val="24"/>
                <w:highlight w:val="none"/>
                <w:lang w:val="en-US" w:eastAsia="zh-CN"/>
              </w:rPr>
              <w:t>投标</w:t>
            </w:r>
            <w:r>
              <w:rPr>
                <w:rFonts w:hint="eastAsia" w:ascii="宋体" w:hAnsi="宋体" w:cs="宋体"/>
                <w:color w:val="auto"/>
                <w:szCs w:val="24"/>
                <w:highlight w:val="none"/>
              </w:rPr>
              <w:t>限价</w:t>
            </w:r>
          </w:p>
        </w:tc>
        <w:tc>
          <w:tcPr>
            <w:tcW w:w="6560" w:type="dxa"/>
            <w:noWrap w:val="0"/>
            <w:vAlign w:val="center"/>
          </w:tcPr>
          <w:p w14:paraId="1DAEFA9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宋体" w:hAnsi="宋体" w:cs="宋体"/>
                <w:b/>
                <w:color w:val="auto"/>
                <w:szCs w:val="24"/>
                <w:highlight w:val="none"/>
                <w:lang w:val="en-US"/>
              </w:rPr>
            </w:pPr>
            <w:r>
              <w:rPr>
                <w:rFonts w:hint="eastAsia" w:ascii="宋体" w:hAnsi="宋体" w:eastAsia="宋体" w:cs="宋体"/>
                <w:color w:val="auto"/>
                <w:szCs w:val="24"/>
                <w:highlight w:val="none"/>
              </w:rPr>
              <w:t>每</w:t>
            </w:r>
            <w:r>
              <w:rPr>
                <w:rFonts w:hint="eastAsia" w:ascii="宋体" w:hAnsi="宋体" w:eastAsia="宋体" w:cs="宋体"/>
                <w:color w:val="auto"/>
                <w:szCs w:val="24"/>
                <w:highlight w:val="none"/>
                <w:lang w:val="en-US" w:eastAsia="zh-CN"/>
              </w:rPr>
              <w:t>名</w:t>
            </w:r>
            <w:r>
              <w:rPr>
                <w:rFonts w:hint="eastAsia" w:ascii="宋体" w:hAnsi="宋体" w:eastAsia="宋体" w:cs="宋体"/>
                <w:color w:val="auto"/>
                <w:szCs w:val="24"/>
                <w:highlight w:val="none"/>
              </w:rPr>
              <w:t>保安员每月工资最高投标限价为</w:t>
            </w:r>
            <w:r>
              <w:rPr>
                <w:rFonts w:hint="eastAsia" w:ascii="宋体" w:hAnsi="宋体" w:eastAsia="宋体" w:cs="宋体"/>
                <w:b/>
                <w:bCs/>
                <w:color w:val="auto"/>
                <w:szCs w:val="24"/>
                <w:highlight w:val="none"/>
              </w:rPr>
              <w:t>¥3,800.00元</w:t>
            </w:r>
            <w:r>
              <w:rPr>
                <w:rFonts w:hint="eastAsia" w:ascii="宋体" w:hAnsi="宋体" w:eastAsia="宋体" w:cs="宋体"/>
                <w:color w:val="auto"/>
                <w:szCs w:val="24"/>
                <w:highlight w:val="none"/>
              </w:rPr>
              <w:t>(报价以“元”为单位，精确到小数点后两位，第三位小数四舍五入)。</w:t>
            </w:r>
            <w:r>
              <w:rPr>
                <w:rFonts w:hint="eastAsia" w:ascii="宋体" w:hAnsi="宋体" w:cs="宋体"/>
                <w:color w:val="000000"/>
                <w:highlight w:val="none"/>
                <w:lang w:val="en-US" w:eastAsia="zh-CN"/>
              </w:rPr>
              <w:t>供应商</w:t>
            </w:r>
            <w:r>
              <w:rPr>
                <w:rFonts w:hint="eastAsia" w:ascii="宋体" w:hAnsi="宋体" w:eastAsia="宋体" w:cs="宋体"/>
                <w:color w:val="auto"/>
                <w:szCs w:val="24"/>
                <w:highlight w:val="none"/>
              </w:rPr>
              <w:t>的投标报价不得超过最高投标限价，否则视为无效投标。</w:t>
            </w:r>
            <w:r>
              <w:rPr>
                <w:rFonts w:hint="eastAsia" w:ascii="Times New Roman" w:hAnsi="Times New Roman" w:eastAsia="宋体" w:cs="Times New Roman"/>
                <w:kern w:val="2"/>
                <w:sz w:val="24"/>
                <w:szCs w:val="22"/>
                <w:highlight w:val="none"/>
                <w:lang w:val="en-US" w:eastAsia="zh-CN" w:bidi="ar-SA"/>
              </w:rPr>
              <w:t>如服务期内由于不可抗力的因素导致合同终止，采购人按实际履行的服务费用进行结算，对成交供应商不作出任何其他经济补偿。供应商须谨慎考虑自身报价。</w:t>
            </w:r>
          </w:p>
        </w:tc>
      </w:tr>
      <w:tr w14:paraId="343C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3" w:type="dxa"/>
            <w:noWrap w:val="0"/>
            <w:vAlign w:val="center"/>
          </w:tcPr>
          <w:p w14:paraId="34B0F7AB">
            <w:pPr>
              <w:keepNext w:val="0"/>
              <w:keepLines w:val="0"/>
              <w:pageBreakBefore w:val="0"/>
              <w:widowControl w:val="0"/>
              <w:tabs>
                <w:tab w:val="left" w:pos="180"/>
              </w:tabs>
              <w:kinsoku/>
              <w:wordWrap/>
              <w:overflowPunct/>
              <w:topLinePunct w:val="0"/>
              <w:autoSpaceDE/>
              <w:autoSpaceDN/>
              <w:bidi w:val="0"/>
              <w:adjustRightIn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2</w:t>
            </w:r>
          </w:p>
        </w:tc>
        <w:tc>
          <w:tcPr>
            <w:tcW w:w="2116" w:type="dxa"/>
            <w:noWrap w:val="0"/>
            <w:vAlign w:val="center"/>
          </w:tcPr>
          <w:p w14:paraId="34FBF46E">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磋商保证金</w:t>
            </w:r>
          </w:p>
        </w:tc>
        <w:tc>
          <w:tcPr>
            <w:tcW w:w="6560" w:type="dxa"/>
            <w:noWrap w:val="0"/>
            <w:vAlign w:val="center"/>
          </w:tcPr>
          <w:p w14:paraId="3E00896F">
            <w:pPr>
              <w:keepNext w:val="0"/>
              <w:keepLines w:val="0"/>
              <w:pageBreakBefore w:val="0"/>
              <w:widowControl w:val="0"/>
              <w:kinsoku/>
              <w:wordWrap/>
              <w:overflowPunct/>
              <w:topLinePunct w:val="0"/>
              <w:autoSpaceDE/>
              <w:autoSpaceDN/>
              <w:bidi w:val="0"/>
              <w:adjustRightInd/>
              <w:snapToGrid w:val="0"/>
              <w:spacing w:line="240" w:lineRule="auto"/>
              <w:ind w:left="361" w:hanging="361" w:hangingChars="150"/>
              <w:textAlignment w:val="auto"/>
              <w:rPr>
                <w:rFonts w:ascii="宋体" w:hAnsi="宋体" w:cs="宋体"/>
                <w:b/>
                <w:color w:val="auto"/>
                <w:szCs w:val="24"/>
                <w:highlight w:val="none"/>
              </w:rPr>
            </w:pPr>
            <w:r>
              <w:rPr>
                <w:rFonts w:hint="eastAsia" w:ascii="宋体" w:hAnsi="宋体" w:cs="宋体"/>
                <w:b/>
                <w:color w:val="auto"/>
                <w:szCs w:val="24"/>
                <w:highlight w:val="none"/>
              </w:rPr>
              <w:t>本项目不收取磋商保证金。</w:t>
            </w:r>
          </w:p>
        </w:tc>
      </w:tr>
      <w:tr w14:paraId="6263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3" w:type="dxa"/>
            <w:noWrap w:val="0"/>
            <w:vAlign w:val="center"/>
          </w:tcPr>
          <w:p w14:paraId="73411FA7">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3</w:t>
            </w:r>
          </w:p>
        </w:tc>
        <w:tc>
          <w:tcPr>
            <w:tcW w:w="2116" w:type="dxa"/>
            <w:noWrap w:val="0"/>
            <w:vAlign w:val="center"/>
          </w:tcPr>
          <w:p w14:paraId="6A0E140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磋商有效期</w:t>
            </w:r>
          </w:p>
        </w:tc>
        <w:tc>
          <w:tcPr>
            <w:tcW w:w="6560" w:type="dxa"/>
            <w:noWrap w:val="0"/>
            <w:vAlign w:val="center"/>
          </w:tcPr>
          <w:p w14:paraId="5AFF83BB">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Cs w:val="24"/>
                <w:highlight w:val="none"/>
              </w:rPr>
            </w:pPr>
            <w:r>
              <w:rPr>
                <w:rFonts w:hint="eastAsia" w:ascii="宋体" w:hAnsi="宋体" w:cs="宋体"/>
                <w:b/>
                <w:color w:val="auto"/>
                <w:szCs w:val="24"/>
                <w:highlight w:val="none"/>
              </w:rPr>
              <w:t>磋商有效期：</w:t>
            </w:r>
            <w:r>
              <w:rPr>
                <w:rFonts w:hint="eastAsia" w:ascii="宋体" w:hAnsi="宋体" w:cs="宋体"/>
                <w:color w:val="auto"/>
                <w:szCs w:val="24"/>
                <w:highlight w:val="none"/>
              </w:rPr>
              <w:t>磋商截止时间起90天（成交供应商的磋商有效期延续到项目验收之日止）。</w:t>
            </w:r>
          </w:p>
        </w:tc>
      </w:tr>
      <w:tr w14:paraId="73A9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jc w:val="center"/>
        </w:trPr>
        <w:tc>
          <w:tcPr>
            <w:tcW w:w="733" w:type="dxa"/>
            <w:noWrap w:val="0"/>
            <w:vAlign w:val="center"/>
          </w:tcPr>
          <w:p w14:paraId="7D50C528">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4</w:t>
            </w:r>
          </w:p>
        </w:tc>
        <w:tc>
          <w:tcPr>
            <w:tcW w:w="2116" w:type="dxa"/>
            <w:noWrap w:val="0"/>
            <w:vAlign w:val="center"/>
          </w:tcPr>
          <w:p w14:paraId="785D05DD">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响应文件的数量</w:t>
            </w:r>
          </w:p>
        </w:tc>
        <w:tc>
          <w:tcPr>
            <w:tcW w:w="6560" w:type="dxa"/>
            <w:noWrap w:val="0"/>
            <w:vAlign w:val="center"/>
          </w:tcPr>
          <w:p w14:paraId="0B6660A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4"/>
                <w:highlight w:val="none"/>
              </w:rPr>
            </w:pPr>
            <w:r>
              <w:rPr>
                <w:rFonts w:hint="eastAsia" w:ascii="宋体" w:hAnsi="宋体" w:cs="宋体"/>
                <w:color w:val="auto"/>
                <w:szCs w:val="24"/>
                <w:highlight w:val="none"/>
              </w:rPr>
              <w:t>响应文件</w:t>
            </w:r>
            <w:r>
              <w:rPr>
                <w:rFonts w:hint="eastAsia" w:ascii="宋体" w:hAnsi="宋体" w:cs="宋体"/>
                <w:b/>
                <w:bCs/>
                <w:color w:val="auto"/>
                <w:szCs w:val="24"/>
                <w:highlight w:val="none"/>
              </w:rPr>
              <w:t>正本一份</w:t>
            </w:r>
            <w:r>
              <w:rPr>
                <w:rFonts w:hint="eastAsia" w:ascii="宋体" w:hAnsi="宋体" w:cs="宋体"/>
                <w:color w:val="auto"/>
                <w:szCs w:val="24"/>
                <w:highlight w:val="none"/>
              </w:rPr>
              <w:t>，</w:t>
            </w:r>
            <w:r>
              <w:rPr>
                <w:rFonts w:hint="eastAsia" w:ascii="宋体" w:hAnsi="宋体" w:cs="宋体"/>
                <w:b/>
                <w:bCs/>
                <w:color w:val="auto"/>
                <w:szCs w:val="24"/>
                <w:highlight w:val="none"/>
              </w:rPr>
              <w:t>副本</w:t>
            </w:r>
            <w:r>
              <w:rPr>
                <w:rFonts w:hint="eastAsia" w:ascii="宋体" w:hAnsi="宋体" w:cs="宋体"/>
                <w:b/>
                <w:bCs/>
                <w:color w:val="auto"/>
                <w:szCs w:val="24"/>
                <w:highlight w:val="none"/>
                <w:lang w:val="en-US" w:eastAsia="zh-CN"/>
              </w:rPr>
              <w:t>二</w:t>
            </w:r>
            <w:r>
              <w:rPr>
                <w:rFonts w:hint="eastAsia" w:ascii="宋体" w:hAnsi="宋体" w:cs="宋体"/>
                <w:b/>
                <w:bCs/>
                <w:color w:val="auto"/>
                <w:szCs w:val="24"/>
                <w:highlight w:val="none"/>
              </w:rPr>
              <w:t>份</w:t>
            </w:r>
            <w:r>
              <w:rPr>
                <w:rFonts w:hint="eastAsia" w:ascii="宋体" w:hAnsi="宋体" w:cs="宋体"/>
                <w:color w:val="auto"/>
                <w:szCs w:val="24"/>
                <w:highlight w:val="none"/>
              </w:rPr>
              <w:t>，及响应文件</w:t>
            </w:r>
            <w:r>
              <w:rPr>
                <w:rFonts w:hint="eastAsia" w:ascii="宋体" w:hAnsi="宋体" w:cs="宋体"/>
                <w:b/>
                <w:color w:val="auto"/>
                <w:szCs w:val="24"/>
                <w:highlight w:val="none"/>
              </w:rPr>
              <w:t>电子版一份</w:t>
            </w:r>
            <w:r>
              <w:rPr>
                <w:rFonts w:hint="eastAsia" w:ascii="宋体" w:hAnsi="宋体" w:cs="宋体"/>
                <w:color w:val="auto"/>
                <w:szCs w:val="24"/>
                <w:highlight w:val="none"/>
              </w:rPr>
              <w:t>。响应文件没有正本或副本份数不足，及没有电子版响应文件的，其磋商将被作为无效磋商处理。</w:t>
            </w:r>
          </w:p>
          <w:p w14:paraId="6A88A87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color w:val="auto"/>
                <w:szCs w:val="24"/>
                <w:highlight w:val="none"/>
              </w:rPr>
              <w:t>（1）每份响应文件必须分别固定装订成册（不得采用活页形式），并在响应文件封面上清楚地标明“正本”或“副本”字样。</w:t>
            </w:r>
          </w:p>
          <w:p w14:paraId="099A7A4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color w:val="auto"/>
                <w:szCs w:val="24"/>
                <w:highlight w:val="none"/>
              </w:rPr>
              <w:t>（2）若本项目包含多个子包，供应商应以拟磋商的单个子包为单位，分别准备响应文件，每套响应文件对应一个拟磋商的子包，并在每套响应文件的封面清楚地标明所投“包号”。</w:t>
            </w:r>
          </w:p>
          <w:p w14:paraId="40B56C5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color w:val="auto"/>
                <w:szCs w:val="24"/>
                <w:highlight w:val="none"/>
              </w:rPr>
              <w:t xml:space="preserve">（3）电子文件要求光盘或 U 盘介质，不留密码，无病毒，不压缩。除响应文件中提供的图片及相关扫描文件外，其他内容应保留EXCEL 格式或 WORD 格式可编辑文档格式文件，如供应商成交，部分内容将用于结果公告公布，电子响应文件与纸质响应文件内容不同，以盖章的纸质响应文件正本为准。 </w:t>
            </w:r>
          </w:p>
        </w:tc>
      </w:tr>
      <w:tr w14:paraId="54C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69B50555">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5</w:t>
            </w:r>
          </w:p>
        </w:tc>
        <w:tc>
          <w:tcPr>
            <w:tcW w:w="2116" w:type="dxa"/>
            <w:noWrap w:val="0"/>
            <w:vAlign w:val="center"/>
          </w:tcPr>
          <w:p w14:paraId="3339C8FE">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响应文件的密封与递交</w:t>
            </w:r>
          </w:p>
        </w:tc>
        <w:tc>
          <w:tcPr>
            <w:tcW w:w="6560" w:type="dxa"/>
            <w:noWrap w:val="0"/>
            <w:vAlign w:val="center"/>
          </w:tcPr>
          <w:p w14:paraId="3F01DE52">
            <w:pPr>
              <w:keepNext w:val="0"/>
              <w:keepLines w:val="0"/>
              <w:pageBreakBefore w:val="0"/>
              <w:widowControl w:val="0"/>
              <w:tabs>
                <w:tab w:val="left" w:pos="540"/>
              </w:tabs>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lang w:val="en-GB"/>
              </w:rPr>
            </w:pPr>
            <w:r>
              <w:rPr>
                <w:rFonts w:hint="eastAsia" w:ascii="宋体" w:hAnsi="宋体" w:cs="宋体"/>
                <w:b/>
                <w:color w:val="auto"/>
                <w:szCs w:val="24"/>
                <w:highlight w:val="none"/>
                <w:lang w:val="en-GB"/>
              </w:rPr>
              <w:t>1. 响应文件密封包类别：</w:t>
            </w:r>
            <w:r>
              <w:rPr>
                <w:rFonts w:hint="eastAsia" w:ascii="宋体" w:hAnsi="宋体" w:cs="宋体"/>
                <w:color w:val="auto"/>
                <w:szCs w:val="24"/>
                <w:highlight w:val="none"/>
                <w:lang w:val="en-GB"/>
              </w:rPr>
              <w:t>至少包含以下</w:t>
            </w:r>
            <w:r>
              <w:rPr>
                <w:rFonts w:hint="eastAsia" w:ascii="宋体" w:hAnsi="宋体" w:cs="宋体"/>
                <w:b/>
                <w:color w:val="auto"/>
                <w:szCs w:val="24"/>
                <w:highlight w:val="none"/>
                <w:lang w:val="en-GB"/>
              </w:rPr>
              <w:t xml:space="preserve"> 2 </w:t>
            </w:r>
            <w:r>
              <w:rPr>
                <w:rFonts w:hint="eastAsia" w:ascii="宋体" w:hAnsi="宋体" w:cs="宋体"/>
                <w:color w:val="auto"/>
                <w:szCs w:val="24"/>
                <w:highlight w:val="none"/>
                <w:lang w:val="en-GB"/>
              </w:rPr>
              <w:t>类独立密封包：</w:t>
            </w:r>
          </w:p>
          <w:p w14:paraId="6278BAB8">
            <w:pPr>
              <w:keepNext w:val="0"/>
              <w:keepLines w:val="0"/>
              <w:pageBreakBefore w:val="0"/>
              <w:widowControl w:val="0"/>
              <w:tabs>
                <w:tab w:val="left" w:pos="510"/>
                <w:tab w:val="left" w:pos="540"/>
              </w:tabs>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lang w:val="en-GB"/>
              </w:rPr>
            </w:pPr>
            <w:r>
              <w:rPr>
                <w:rFonts w:hint="eastAsia" w:ascii="宋体" w:hAnsi="宋体" w:cs="宋体"/>
                <w:color w:val="auto"/>
                <w:szCs w:val="24"/>
                <w:highlight w:val="none"/>
                <w:lang w:val="en-GB"/>
              </w:rPr>
              <w:t>1）响应文件密封包；</w:t>
            </w:r>
          </w:p>
          <w:p w14:paraId="775ACC73">
            <w:pPr>
              <w:keepNext w:val="0"/>
              <w:keepLines w:val="0"/>
              <w:pageBreakBefore w:val="0"/>
              <w:widowControl w:val="0"/>
              <w:tabs>
                <w:tab w:val="left" w:pos="510"/>
                <w:tab w:val="left" w:pos="540"/>
              </w:tabs>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lang w:val="en-GB"/>
              </w:rPr>
            </w:pPr>
            <w:r>
              <w:rPr>
                <w:rFonts w:hint="eastAsia" w:ascii="宋体" w:hAnsi="宋体" w:cs="宋体"/>
                <w:color w:val="auto"/>
                <w:szCs w:val="24"/>
                <w:highlight w:val="none"/>
                <w:lang w:val="en-GB"/>
              </w:rPr>
              <w:t>2）报价信封密封包。</w:t>
            </w:r>
          </w:p>
          <w:p w14:paraId="48693439">
            <w:pPr>
              <w:keepNext w:val="0"/>
              <w:keepLines w:val="0"/>
              <w:pageBreakBefore w:val="0"/>
              <w:widowControl w:val="0"/>
              <w:kinsoku/>
              <w:wordWrap/>
              <w:overflowPunct/>
              <w:topLinePunct w:val="0"/>
              <w:autoSpaceDE/>
              <w:autoSpaceDN/>
              <w:bidi w:val="0"/>
              <w:adjustRightInd/>
              <w:snapToGrid/>
              <w:spacing w:line="312" w:lineRule="auto"/>
              <w:ind w:left="361" w:hanging="361" w:hangingChars="150"/>
              <w:jc w:val="both"/>
              <w:textAlignment w:val="auto"/>
              <w:rPr>
                <w:rFonts w:ascii="宋体" w:hAnsi="宋体" w:cs="宋体"/>
                <w:color w:val="auto"/>
                <w:szCs w:val="24"/>
                <w:highlight w:val="none"/>
              </w:rPr>
            </w:pPr>
            <w:r>
              <w:rPr>
                <w:rFonts w:hint="eastAsia" w:ascii="宋体" w:hAnsi="宋体" w:cs="宋体"/>
                <w:b/>
                <w:color w:val="auto"/>
                <w:szCs w:val="24"/>
                <w:highlight w:val="none"/>
              </w:rPr>
              <w:t>2. 响应文件密封包包含内容：</w:t>
            </w:r>
            <w:r>
              <w:rPr>
                <w:rFonts w:hint="eastAsia" w:ascii="宋体" w:hAnsi="宋体" w:cs="宋体"/>
                <w:color w:val="auto"/>
                <w:szCs w:val="24"/>
                <w:highlight w:val="none"/>
              </w:rPr>
              <w:t>响应文件正本、副本（正本与副本可分开密封，也可全部密封在一包内）；</w:t>
            </w:r>
          </w:p>
          <w:p w14:paraId="22B02E8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b/>
                <w:color w:val="auto"/>
                <w:szCs w:val="24"/>
                <w:highlight w:val="none"/>
              </w:rPr>
            </w:pPr>
            <w:r>
              <w:rPr>
                <w:rFonts w:hint="eastAsia" w:ascii="宋体" w:hAnsi="宋体" w:cs="宋体"/>
                <w:b/>
                <w:color w:val="auto"/>
                <w:szCs w:val="24"/>
                <w:highlight w:val="none"/>
              </w:rPr>
              <w:t>3. 报价信封密封包包含内容：</w:t>
            </w:r>
          </w:p>
          <w:p w14:paraId="0C99F10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color w:val="auto"/>
                <w:szCs w:val="24"/>
                <w:highlight w:val="none"/>
              </w:rPr>
              <w:t>1）《报价一览表》原件一份（</w:t>
            </w:r>
            <w:r>
              <w:rPr>
                <w:rFonts w:hint="eastAsia" w:ascii="宋体" w:hAnsi="宋体" w:cs="宋体"/>
                <w:color w:val="auto"/>
                <w:szCs w:val="24"/>
                <w:highlight w:val="none"/>
                <w:lang w:eastAsia="zh-CN"/>
              </w:rPr>
              <w:t>加盖供应商公章</w:t>
            </w:r>
            <w:r>
              <w:rPr>
                <w:rFonts w:hint="eastAsia" w:ascii="宋体" w:hAnsi="宋体" w:cs="宋体"/>
                <w:color w:val="auto"/>
                <w:szCs w:val="24"/>
                <w:highlight w:val="none"/>
              </w:rPr>
              <w:t>）；（响应文件格式如有）</w:t>
            </w:r>
          </w:p>
          <w:p w14:paraId="2A21FDC9">
            <w:pPr>
              <w:keepNext w:val="0"/>
              <w:keepLines w:val="0"/>
              <w:pageBreakBefore w:val="0"/>
              <w:widowControl w:val="0"/>
              <w:kinsoku/>
              <w:wordWrap/>
              <w:overflowPunct/>
              <w:topLinePunct w:val="0"/>
              <w:autoSpaceDE/>
              <w:autoSpaceDN/>
              <w:bidi w:val="0"/>
              <w:adjustRightInd/>
              <w:snapToGrid/>
              <w:spacing w:before="25" w:after="25" w:line="312" w:lineRule="auto"/>
              <w:jc w:val="both"/>
              <w:textAlignment w:val="auto"/>
              <w:rPr>
                <w:rFonts w:ascii="宋体" w:hAnsi="宋体" w:eastAsia="宋体" w:cs="宋体"/>
                <w:bCs/>
                <w:color w:val="auto"/>
                <w:spacing w:val="10"/>
                <w:kern w:val="0"/>
                <w:sz w:val="24"/>
                <w:szCs w:val="24"/>
                <w:highlight w:val="none"/>
                <w:lang w:val="en-US" w:eastAsia="zh-CN" w:bidi="ar-SA"/>
              </w:rPr>
            </w:pPr>
            <w:r>
              <w:rPr>
                <w:rFonts w:hint="eastAsia" w:ascii="宋体" w:hAnsi="宋体" w:eastAsia="宋体" w:cs="宋体"/>
                <w:bCs/>
                <w:color w:val="auto"/>
                <w:spacing w:val="10"/>
                <w:kern w:val="0"/>
                <w:sz w:val="24"/>
                <w:szCs w:val="24"/>
                <w:highlight w:val="none"/>
                <w:lang w:val="en-US" w:eastAsia="zh-CN" w:bidi="ar-SA"/>
              </w:rPr>
              <w:t>2）授权书原件（须加盖供应商公章）；</w:t>
            </w:r>
          </w:p>
          <w:p w14:paraId="5F91DCF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color w:val="auto"/>
                <w:szCs w:val="24"/>
                <w:highlight w:val="none"/>
              </w:rPr>
              <w:t>3）电子文档一份。</w:t>
            </w:r>
          </w:p>
          <w:p w14:paraId="2D39F91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color w:val="auto"/>
                <w:szCs w:val="24"/>
                <w:highlight w:val="none"/>
              </w:rPr>
            </w:pPr>
            <w:r>
              <w:rPr>
                <w:rFonts w:hint="eastAsia" w:ascii="宋体" w:hAnsi="宋体" w:cs="宋体"/>
                <w:b/>
                <w:color w:val="auto"/>
                <w:szCs w:val="24"/>
                <w:highlight w:val="none"/>
              </w:rPr>
              <w:t>注：报价信封须单独密封。</w:t>
            </w:r>
          </w:p>
        </w:tc>
      </w:tr>
      <w:tr w14:paraId="6EC3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noWrap w:val="0"/>
            <w:vAlign w:val="center"/>
          </w:tcPr>
          <w:p w14:paraId="260F8E91">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6</w:t>
            </w:r>
          </w:p>
        </w:tc>
        <w:tc>
          <w:tcPr>
            <w:tcW w:w="2116" w:type="dxa"/>
            <w:noWrap w:val="0"/>
            <w:vAlign w:val="center"/>
          </w:tcPr>
          <w:p w14:paraId="3E4E035B">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响应文件签字及</w:t>
            </w:r>
          </w:p>
          <w:p w14:paraId="31630CCF">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盖章</w:t>
            </w:r>
          </w:p>
        </w:tc>
        <w:tc>
          <w:tcPr>
            <w:tcW w:w="6560" w:type="dxa"/>
            <w:noWrap w:val="0"/>
            <w:vAlign w:val="center"/>
          </w:tcPr>
          <w:p w14:paraId="735F96A5">
            <w:pPr>
              <w:keepNext w:val="0"/>
              <w:keepLines w:val="0"/>
              <w:pageBreakBefore w:val="0"/>
              <w:widowControl w:val="0"/>
              <w:numPr>
                <w:ilvl w:val="0"/>
                <w:numId w:val="3"/>
              </w:numPr>
              <w:kinsoku/>
              <w:wordWrap/>
              <w:overflowPunct/>
              <w:topLinePunct w:val="0"/>
              <w:autoSpaceDE/>
              <w:autoSpaceDN/>
              <w:bidi w:val="0"/>
              <w:adjustRightInd/>
              <w:snapToGrid/>
              <w:spacing w:line="288"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响应文件的正本需打印或用不褪色墨水书写，并在响应文件格式有提示的地方由供应商的法定代表人或经法定代表人正式授权的代表签字及加盖单位公章。</w:t>
            </w:r>
          </w:p>
          <w:p w14:paraId="54396B05">
            <w:pPr>
              <w:keepNext w:val="0"/>
              <w:keepLines w:val="0"/>
              <w:pageBreakBefore w:val="0"/>
              <w:widowControl w:val="0"/>
              <w:numPr>
                <w:ilvl w:val="0"/>
                <w:numId w:val="3"/>
              </w:numPr>
              <w:kinsoku/>
              <w:wordWrap/>
              <w:overflowPunct/>
              <w:topLinePunct w:val="0"/>
              <w:autoSpaceDE/>
              <w:autoSpaceDN/>
              <w:bidi w:val="0"/>
              <w:adjustRightInd/>
              <w:snapToGrid/>
              <w:spacing w:line="288"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《响应文件》的【正本】及所有【副本】的封面及骑缝均须加盖供应商法人公章。</w:t>
            </w:r>
          </w:p>
          <w:p w14:paraId="302F2B3D">
            <w:pPr>
              <w:keepNext w:val="0"/>
              <w:keepLines w:val="0"/>
              <w:pageBreakBefore w:val="0"/>
              <w:widowControl w:val="0"/>
              <w:numPr>
                <w:ilvl w:val="0"/>
                <w:numId w:val="3"/>
              </w:numPr>
              <w:kinsoku/>
              <w:wordWrap/>
              <w:overflowPunct/>
              <w:topLinePunct w:val="0"/>
              <w:autoSpaceDE/>
              <w:autoSpaceDN/>
              <w:bidi w:val="0"/>
              <w:adjustRightInd/>
              <w:snapToGrid/>
              <w:spacing w:line="288"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响应文件由法定代表人签字的，须在响应文件中出具“法定代表人资格证明书”原件；响应文件由授权代表签字的，则须在响应文件中出具“法定代表人资格证明书”和“法定代表人授权书”原件。响应文件无法定代表人签字或签字人无法定代表人有效授权的，作为无效磋商处理。</w:t>
            </w:r>
          </w:p>
          <w:p w14:paraId="704C96C3">
            <w:pPr>
              <w:keepNext w:val="0"/>
              <w:keepLines w:val="0"/>
              <w:pageBreakBefore w:val="0"/>
              <w:widowControl w:val="0"/>
              <w:numPr>
                <w:ilvl w:val="0"/>
                <w:numId w:val="3"/>
              </w:numPr>
              <w:kinsoku/>
              <w:wordWrap/>
              <w:overflowPunct/>
              <w:topLinePunct w:val="0"/>
              <w:autoSpaceDE/>
              <w:autoSpaceDN/>
              <w:bidi w:val="0"/>
              <w:adjustRightInd/>
              <w:snapToGrid/>
              <w:spacing w:line="288"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响应文件的副本可采用签字盖章后的正本的复印件。所有的复印件（包括正本中的响应资料）均应保证清晰可辨，否则不清晰内容的有效性不予被认可。</w:t>
            </w:r>
          </w:p>
        </w:tc>
      </w:tr>
      <w:tr w14:paraId="5097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3" w:type="dxa"/>
            <w:noWrap w:val="0"/>
            <w:vAlign w:val="center"/>
          </w:tcPr>
          <w:p w14:paraId="6FED2D46">
            <w:pPr>
              <w:keepNext w:val="0"/>
              <w:keepLines w:val="0"/>
              <w:pageBreakBefore w:val="0"/>
              <w:widowControl w:val="0"/>
              <w:tabs>
                <w:tab w:val="left" w:pos="180"/>
              </w:tabs>
              <w:kinsoku/>
              <w:wordWrap/>
              <w:overflowPunct/>
              <w:topLinePunct w:val="0"/>
              <w:autoSpaceDE/>
              <w:autoSpaceDN/>
              <w:bidi w:val="0"/>
              <w:adjustRightInd/>
              <w:snapToGri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7</w:t>
            </w:r>
          </w:p>
        </w:tc>
        <w:tc>
          <w:tcPr>
            <w:tcW w:w="2116" w:type="dxa"/>
            <w:noWrap w:val="0"/>
            <w:vAlign w:val="center"/>
          </w:tcPr>
          <w:p w14:paraId="3F07A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磋商小组的组成</w:t>
            </w:r>
          </w:p>
        </w:tc>
        <w:tc>
          <w:tcPr>
            <w:tcW w:w="6560" w:type="dxa"/>
            <w:noWrap w:val="0"/>
            <w:vAlign w:val="center"/>
          </w:tcPr>
          <w:p w14:paraId="6E9BDB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磋商小组成员共</w:t>
            </w:r>
            <w:r>
              <w:rPr>
                <w:rFonts w:hint="eastAsia" w:ascii="宋体" w:hAnsi="宋体" w:cs="宋体"/>
                <w:b/>
                <w:color w:val="auto"/>
                <w:szCs w:val="24"/>
                <w:highlight w:val="none"/>
                <w:u w:val="single"/>
              </w:rPr>
              <w:t xml:space="preserve"> 3 </w:t>
            </w:r>
            <w:r>
              <w:rPr>
                <w:rFonts w:hint="eastAsia" w:ascii="宋体" w:hAnsi="宋体" w:cs="宋体"/>
                <w:color w:val="auto"/>
                <w:szCs w:val="24"/>
                <w:highlight w:val="none"/>
              </w:rPr>
              <w:t>人；</w:t>
            </w:r>
          </w:p>
        </w:tc>
      </w:tr>
      <w:tr w14:paraId="1814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noWrap w:val="0"/>
            <w:vAlign w:val="center"/>
          </w:tcPr>
          <w:p w14:paraId="1C87CA01">
            <w:pPr>
              <w:keepNext w:val="0"/>
              <w:keepLines w:val="0"/>
              <w:pageBreakBefore w:val="0"/>
              <w:widowControl w:val="0"/>
              <w:tabs>
                <w:tab w:val="left" w:pos="180"/>
              </w:tabs>
              <w:kinsoku/>
              <w:wordWrap/>
              <w:overflowPunct/>
              <w:topLinePunct w:val="0"/>
              <w:autoSpaceDE/>
              <w:autoSpaceDN/>
              <w:bidi w:val="0"/>
              <w:adjustRightInd/>
              <w:snapToGri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8</w:t>
            </w:r>
          </w:p>
        </w:tc>
        <w:tc>
          <w:tcPr>
            <w:tcW w:w="2116" w:type="dxa"/>
            <w:noWrap w:val="0"/>
            <w:vAlign w:val="center"/>
          </w:tcPr>
          <w:p w14:paraId="70C81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评审流程与相关事项</w:t>
            </w:r>
          </w:p>
        </w:tc>
        <w:tc>
          <w:tcPr>
            <w:tcW w:w="6560" w:type="dxa"/>
            <w:noWrap w:val="0"/>
            <w:vAlign w:val="center"/>
          </w:tcPr>
          <w:p w14:paraId="646669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4"/>
                <w:highlight w:val="none"/>
              </w:rPr>
            </w:pPr>
            <w:r>
              <w:rPr>
                <w:rFonts w:hint="eastAsia" w:ascii="宋体" w:hAnsi="宋体" w:cs="宋体"/>
                <w:color w:val="auto"/>
                <w:szCs w:val="24"/>
                <w:highlight w:val="none"/>
              </w:rPr>
              <w:t>磋商小组推荐成交候选人的数量：</w:t>
            </w:r>
            <w:r>
              <w:rPr>
                <w:rFonts w:hint="eastAsia" w:ascii="宋体" w:hAnsi="宋体" w:cs="宋体"/>
                <w:b/>
                <w:color w:val="auto"/>
                <w:szCs w:val="24"/>
                <w:highlight w:val="none"/>
                <w:u w:val="single"/>
              </w:rPr>
              <w:t xml:space="preserve"> </w:t>
            </w:r>
            <w:r>
              <w:rPr>
                <w:rFonts w:hint="eastAsia" w:ascii="宋体" w:hAnsi="宋体" w:cs="宋体"/>
                <w:b/>
                <w:color w:val="auto"/>
                <w:szCs w:val="24"/>
                <w:highlight w:val="none"/>
                <w:u w:val="single"/>
                <w:lang w:val="en-US" w:eastAsia="zh-CN"/>
              </w:rPr>
              <w:t>3</w:t>
            </w:r>
            <w:r>
              <w:rPr>
                <w:rFonts w:hint="eastAsia" w:ascii="宋体" w:hAnsi="宋体" w:cs="宋体"/>
                <w:b/>
                <w:color w:val="auto"/>
                <w:szCs w:val="24"/>
                <w:highlight w:val="none"/>
                <w:u w:val="single"/>
              </w:rPr>
              <w:t xml:space="preserve"> </w:t>
            </w:r>
            <w:r>
              <w:rPr>
                <w:rFonts w:hint="eastAsia" w:ascii="宋体" w:hAnsi="宋体" w:cs="宋体"/>
                <w:color w:val="auto"/>
                <w:szCs w:val="24"/>
                <w:highlight w:val="none"/>
              </w:rPr>
              <w:t>名。</w:t>
            </w:r>
          </w:p>
        </w:tc>
      </w:tr>
      <w:tr w14:paraId="2C4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noWrap w:val="0"/>
            <w:vAlign w:val="center"/>
          </w:tcPr>
          <w:p w14:paraId="2BF9E058">
            <w:pPr>
              <w:keepNext w:val="0"/>
              <w:keepLines w:val="0"/>
              <w:pageBreakBefore w:val="0"/>
              <w:widowControl w:val="0"/>
              <w:tabs>
                <w:tab w:val="left" w:pos="180"/>
              </w:tabs>
              <w:kinsoku/>
              <w:wordWrap/>
              <w:overflowPunct/>
              <w:topLinePunct w:val="0"/>
              <w:autoSpaceDE/>
              <w:autoSpaceDN/>
              <w:bidi w:val="0"/>
              <w:adjustRightInd/>
              <w:snapToGrid/>
              <w:spacing w:line="240"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9</w:t>
            </w:r>
          </w:p>
        </w:tc>
        <w:tc>
          <w:tcPr>
            <w:tcW w:w="2116" w:type="dxa"/>
            <w:noWrap w:val="0"/>
            <w:vAlign w:val="center"/>
          </w:tcPr>
          <w:p w14:paraId="343AB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成交资格的确定</w:t>
            </w:r>
          </w:p>
        </w:tc>
        <w:tc>
          <w:tcPr>
            <w:tcW w:w="6560" w:type="dxa"/>
            <w:noWrap w:val="0"/>
            <w:vAlign w:val="center"/>
          </w:tcPr>
          <w:p w14:paraId="1A133C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4"/>
                <w:highlight w:val="none"/>
              </w:rPr>
            </w:pPr>
            <w:r>
              <w:rPr>
                <w:rFonts w:hint="eastAsia" w:ascii="宋体" w:hAnsi="宋体" w:cs="宋体"/>
                <w:color w:val="auto"/>
                <w:szCs w:val="24"/>
                <w:highlight w:val="none"/>
                <w:lang w:val="zh-CN"/>
              </w:rPr>
              <w:t>成交供应商数量：</w:t>
            </w:r>
            <w:r>
              <w:rPr>
                <w:rFonts w:hint="eastAsia" w:ascii="宋体" w:hAnsi="宋体" w:cs="宋体"/>
                <w:b/>
                <w:color w:val="auto"/>
                <w:szCs w:val="24"/>
                <w:highlight w:val="none"/>
                <w:u w:val="single"/>
              </w:rPr>
              <w:t xml:space="preserve">1 </w:t>
            </w:r>
            <w:r>
              <w:rPr>
                <w:rFonts w:hint="eastAsia" w:ascii="宋体" w:hAnsi="宋体" w:cs="宋体"/>
                <w:color w:val="auto"/>
                <w:szCs w:val="24"/>
                <w:highlight w:val="none"/>
              </w:rPr>
              <w:t>名。</w:t>
            </w:r>
          </w:p>
        </w:tc>
      </w:tr>
      <w:tr w14:paraId="2609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jc w:val="center"/>
        </w:trPr>
        <w:tc>
          <w:tcPr>
            <w:tcW w:w="733" w:type="dxa"/>
            <w:noWrap w:val="0"/>
            <w:vAlign w:val="center"/>
          </w:tcPr>
          <w:p w14:paraId="5E195513">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10</w:t>
            </w:r>
          </w:p>
        </w:tc>
        <w:tc>
          <w:tcPr>
            <w:tcW w:w="2116" w:type="dxa"/>
            <w:noWrap w:val="0"/>
            <w:vAlign w:val="center"/>
          </w:tcPr>
          <w:p w14:paraId="53B1C85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成交服务费</w:t>
            </w:r>
          </w:p>
          <w:p w14:paraId="413C9F77">
            <w:pPr>
              <w:spacing w:line="360" w:lineRule="auto"/>
              <w:jc w:val="center"/>
              <w:rPr>
                <w:rFonts w:ascii="宋体" w:hAnsi="宋体" w:cs="宋体"/>
                <w:color w:val="auto"/>
                <w:szCs w:val="24"/>
                <w:highlight w:val="none"/>
              </w:rPr>
            </w:pPr>
            <w:r>
              <w:rPr>
                <w:rFonts w:hint="eastAsia" w:ascii="宋体" w:hAnsi="宋体" w:cs="宋体"/>
                <w:color w:val="auto"/>
                <w:szCs w:val="24"/>
                <w:highlight w:val="none"/>
                <w:lang w:val="en-GB"/>
              </w:rPr>
              <w:t>（招标代理费）</w:t>
            </w:r>
          </w:p>
        </w:tc>
        <w:tc>
          <w:tcPr>
            <w:tcW w:w="6560" w:type="dxa"/>
            <w:noWrap w:val="0"/>
            <w:vAlign w:val="center"/>
          </w:tcPr>
          <w:p w14:paraId="6977D28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1、收费标准：</w:t>
            </w:r>
            <w:r>
              <w:rPr>
                <w:rFonts w:hint="eastAsia" w:ascii="Times New Roman" w:hAnsi="Times New Roman" w:eastAsia="宋体" w:cs="宋体"/>
                <w:color w:val="auto"/>
                <w:kern w:val="2"/>
                <w:sz w:val="24"/>
                <w:szCs w:val="24"/>
                <w:highlight w:val="none"/>
                <w:lang w:val="en-US" w:eastAsia="zh-CN" w:bidi="ar-SA"/>
              </w:rPr>
              <w:t>招标代理费收费标准</w:t>
            </w:r>
            <w:r>
              <w:rPr>
                <w:rFonts w:hint="eastAsia" w:ascii="宋体" w:hAnsi="宋体" w:eastAsia="宋体" w:cs="宋体"/>
                <w:color w:val="auto"/>
                <w:kern w:val="2"/>
                <w:sz w:val="24"/>
                <w:szCs w:val="24"/>
                <w:highlight w:val="none"/>
                <w:lang w:val="en-US" w:eastAsia="zh-CN" w:bidi="ar-SA"/>
              </w:rPr>
              <w:t>参照国家计委颁布的《招标代理服务收费管理暂行办法》（计价格[2002]1980号）及发改价格[2011]534号文中“服务类”招标代理服务费收费标准执行。</w:t>
            </w:r>
          </w:p>
          <w:p w14:paraId="40D9C32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2、计算基数：预算金额。</w:t>
            </w:r>
          </w:p>
          <w:p w14:paraId="15DE4F8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3、计算方法：按差额定率累进法计算。</w:t>
            </w:r>
          </w:p>
          <w:p w14:paraId="556B240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4、支付方式：由</w:t>
            </w:r>
            <w:r>
              <w:rPr>
                <w:rFonts w:hint="eastAsia" w:ascii="Times New Roman" w:hAnsi="Times New Roman" w:eastAsia="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以银行转账方式一次性支付给采购代理机构。</w:t>
            </w:r>
          </w:p>
          <w:p w14:paraId="20C2228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备注说明：招标代理费由</w:t>
            </w:r>
            <w:r>
              <w:rPr>
                <w:rFonts w:hint="eastAsia" w:ascii="Times New Roman" w:hAnsi="Times New Roman" w:eastAsia="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支付，</w:t>
            </w:r>
            <w:r>
              <w:rPr>
                <w:rFonts w:hint="eastAsia" w:ascii="Times New Roman" w:hAnsi="Times New Roman" w:eastAsia="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在递交响应文件时，即视为已考虑并同意缴纳此项费用。</w:t>
            </w:r>
            <w:r>
              <w:rPr>
                <w:rFonts w:hint="eastAsia" w:ascii="Times New Roman" w:hAnsi="Times New Roman" w:eastAsia="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须向采购代理机构缴纳招标代理费后，凭领取人身份证复印件并加盖公章领取《成交通知书》。如采用电汇或银行转账，须同时递交招标代理费缴费凭证复印件并加盖公章。</w:t>
            </w:r>
          </w:p>
          <w:p w14:paraId="51A108BB">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highlight w:val="none"/>
              </w:rPr>
            </w:pPr>
            <w:r>
              <w:rPr>
                <w:rFonts w:hint="eastAsia" w:ascii="Calibri" w:eastAsia="宋体"/>
                <w:color w:val="auto"/>
                <w:highlight w:val="none"/>
                <w:lang w:val="en-US" w:eastAsia="zh-CN"/>
              </w:rPr>
              <w:t>5、</w:t>
            </w:r>
            <w:r>
              <w:rPr>
                <w:rFonts w:hint="eastAsia"/>
                <w:color w:val="auto"/>
                <w:highlight w:val="none"/>
              </w:rPr>
              <w:t>如需开发票，请于开标后5日内将收据扫描件及开票资料（包括联系人、地址、电话）发送至</w:t>
            </w:r>
            <w:r>
              <w:rPr>
                <w:rFonts w:hint="eastAsia" w:eastAsia="宋体"/>
                <w:color w:val="auto"/>
                <w:highlight w:val="none"/>
                <w:lang w:eastAsia="zh-CN"/>
              </w:rPr>
              <w:t>huaruichengfs@163.com</w:t>
            </w:r>
            <w:r>
              <w:rPr>
                <w:rFonts w:hint="eastAsia"/>
                <w:color w:val="auto"/>
                <w:highlight w:val="none"/>
              </w:rPr>
              <w:t>，联系电话</w:t>
            </w:r>
            <w:r>
              <w:rPr>
                <w:rFonts w:hint="eastAsia" w:eastAsia="宋体"/>
                <w:color w:val="auto"/>
                <w:highlight w:val="none"/>
                <w:lang w:eastAsia="zh-CN"/>
              </w:rPr>
              <w:t>：0757-81019488</w:t>
            </w:r>
            <w:r>
              <w:rPr>
                <w:rFonts w:hint="eastAsia"/>
                <w:color w:val="auto"/>
                <w:highlight w:val="none"/>
              </w:rPr>
              <w:t>。发票默认邮寄到付。</w:t>
            </w:r>
          </w:p>
        </w:tc>
      </w:tr>
      <w:tr w14:paraId="246D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409" w:type="dxa"/>
            <w:gridSpan w:val="3"/>
            <w:noWrap w:val="0"/>
            <w:vAlign w:val="center"/>
          </w:tcPr>
          <w:p w14:paraId="742C0625">
            <w:pPr>
              <w:keepNext w:val="0"/>
              <w:keepLines w:val="0"/>
              <w:pageBreakBefore w:val="0"/>
              <w:widowControl w:val="0"/>
              <w:tabs>
                <w:tab w:val="left" w:pos="540"/>
              </w:tabs>
              <w:kinsoku/>
              <w:wordWrap/>
              <w:overflowPunct/>
              <w:topLinePunct w:val="0"/>
              <w:autoSpaceDE/>
              <w:autoSpaceDN/>
              <w:bidi w:val="0"/>
              <w:adjustRightInd/>
              <w:snapToGrid w:val="0"/>
              <w:spacing w:line="288" w:lineRule="auto"/>
              <w:textAlignment w:val="auto"/>
              <w:rPr>
                <w:rFonts w:ascii="宋体" w:hAnsi="宋体" w:cs="宋体"/>
                <w:color w:val="auto"/>
                <w:szCs w:val="24"/>
                <w:highlight w:val="none"/>
                <w:lang w:val="en-GB"/>
              </w:rPr>
            </w:pPr>
            <w:r>
              <w:rPr>
                <w:rFonts w:hint="eastAsia" w:ascii="宋体" w:hAnsi="宋体" w:cs="宋体"/>
                <w:color w:val="auto"/>
                <w:szCs w:val="24"/>
                <w:highlight w:val="none"/>
                <w:lang w:val="en-GB"/>
              </w:rPr>
              <w:t>注：《磋商邀请函》、《供应商须知前附表》与《供应商须知正文》互为补充、互为说明，若有不一致的，优先以《磋商邀请函》为准，其次以《供应商须知前附表》为准。</w:t>
            </w:r>
          </w:p>
        </w:tc>
      </w:tr>
    </w:tbl>
    <w:p w14:paraId="72BF02FF">
      <w:pPr>
        <w:rPr>
          <w:rFonts w:hint="eastAsia" w:ascii="宋体" w:hAnsi="宋体"/>
          <w:color w:val="auto"/>
          <w:highlight w:val="none"/>
        </w:rPr>
      </w:pPr>
      <w:r>
        <w:rPr>
          <w:rFonts w:ascii="宋体" w:hAnsi="宋体"/>
          <w:color w:val="auto"/>
          <w:highlight w:val="none"/>
        </w:rPr>
        <w:br w:type="page"/>
      </w:r>
    </w:p>
    <w:p w14:paraId="2AEA8CF3">
      <w:pPr>
        <w:jc w:val="center"/>
        <w:rPr>
          <w:rFonts w:hint="eastAsia" w:ascii="宋体" w:hAnsi="宋体"/>
          <w:b/>
          <w:color w:val="auto"/>
          <w:sz w:val="22"/>
          <w:highlight w:val="none"/>
        </w:rPr>
      </w:pPr>
      <w:r>
        <w:rPr>
          <w:rFonts w:hint="eastAsia" w:ascii="Cambria" w:hAnsi="Cambria"/>
          <w:b/>
          <w:color w:val="auto"/>
          <w:sz w:val="32"/>
          <w:highlight w:val="none"/>
        </w:rPr>
        <w:t>供应商须知正文</w:t>
      </w:r>
    </w:p>
    <w:p w14:paraId="235D9E5B">
      <w:pPr>
        <w:rPr>
          <w:rFonts w:ascii="宋体" w:hAnsi="宋体"/>
          <w:color w:val="auto"/>
          <w:highlight w:val="none"/>
        </w:rPr>
      </w:pPr>
    </w:p>
    <w:p w14:paraId="43443587">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bookmarkStart w:id="13" w:name="_Toc22013"/>
      <w:r>
        <w:rPr>
          <w:rFonts w:hint="eastAsia" w:ascii="Cambria" w:hAnsi="Cambria" w:eastAsia="宋体" w:cs="Times New Roman"/>
          <w:b/>
          <w:bCs/>
          <w:color w:val="auto"/>
          <w:kern w:val="2"/>
          <w:sz w:val="32"/>
          <w:szCs w:val="32"/>
          <w:highlight w:val="none"/>
          <w:lang w:val="en-US" w:eastAsia="zh-CN" w:bidi="ar-SA"/>
        </w:rPr>
        <w:t>一、概念释义</w:t>
      </w:r>
      <w:bookmarkEnd w:id="13"/>
    </w:p>
    <w:p w14:paraId="69E73FE6">
      <w:pPr>
        <w:numPr>
          <w:ilvl w:val="0"/>
          <w:numId w:val="4"/>
        </w:numPr>
        <w:snapToGrid w:val="0"/>
        <w:spacing w:line="360" w:lineRule="auto"/>
        <w:ind w:left="510" w:hanging="510"/>
        <w:rPr>
          <w:rFonts w:hint="eastAsia" w:ascii="宋体" w:hAnsi="宋体"/>
          <w:b/>
          <w:color w:val="auto"/>
          <w:highlight w:val="none"/>
          <w:lang w:val="en-GB"/>
        </w:rPr>
      </w:pPr>
      <w:bookmarkStart w:id="14" w:name="_Toc332090766"/>
      <w:bookmarkStart w:id="15" w:name="_Toc136662912"/>
      <w:bookmarkStart w:id="16" w:name="_Toc119321123"/>
      <w:bookmarkStart w:id="17" w:name="_Toc136682888"/>
      <w:bookmarkStart w:id="18" w:name="_Toc276220255"/>
      <w:bookmarkStart w:id="19" w:name="_Toc275954883"/>
      <w:bookmarkStart w:id="20" w:name="_Toc528736178"/>
      <w:r>
        <w:rPr>
          <w:rFonts w:hint="eastAsia" w:ascii="宋体" w:hAnsi="宋体"/>
          <w:b/>
          <w:color w:val="auto"/>
          <w:highlight w:val="none"/>
          <w:lang w:val="en-GB"/>
        </w:rPr>
        <w:t>适用法律</w:t>
      </w:r>
      <w:bookmarkEnd w:id="14"/>
      <w:bookmarkEnd w:id="15"/>
      <w:bookmarkEnd w:id="16"/>
      <w:bookmarkEnd w:id="17"/>
      <w:bookmarkEnd w:id="18"/>
      <w:bookmarkEnd w:id="19"/>
      <w:bookmarkEnd w:id="20"/>
    </w:p>
    <w:p w14:paraId="5724373C">
      <w:pPr>
        <w:numPr>
          <w:ilvl w:val="0"/>
          <w:numId w:val="0"/>
        </w:numPr>
        <w:snapToGrid w:val="0"/>
        <w:spacing w:line="360" w:lineRule="auto"/>
        <w:ind w:left="0" w:firstLine="0"/>
        <w:rPr>
          <w:color w:val="auto"/>
          <w:highlight w:val="none"/>
          <w:lang w:val="zh-CN" w:eastAsia="zh-CN"/>
        </w:rPr>
      </w:pPr>
      <w:bookmarkStart w:id="21" w:name="_Toc119321124"/>
      <w:bookmarkStart w:id="22" w:name="_Toc275954884"/>
      <w:bookmarkStart w:id="23" w:name="_Toc332090767"/>
      <w:bookmarkStart w:id="24" w:name="_Toc276220256"/>
      <w:bookmarkStart w:id="25" w:name="_Toc136662913"/>
      <w:bookmarkStart w:id="26" w:name="_Toc136682889"/>
      <w:bookmarkStart w:id="27" w:name="_Toc528736179"/>
      <w:r>
        <w:rPr>
          <w:rFonts w:hint="eastAsia" w:ascii="Calibri" w:eastAsia="宋体"/>
          <w:lang w:val="en-US" w:eastAsia="zh-CN"/>
        </w:rPr>
        <w:t xml:space="preserve">    </w:t>
      </w:r>
      <w:r>
        <w:rPr>
          <w:color w:val="auto"/>
          <w:highlight w:val="none"/>
          <w:lang w:val="zh-CN" w:eastAsia="zh-CN"/>
        </w:rPr>
        <w:t>本次竞争性磋商适用的主要法规为《中华人民共和国</w:t>
      </w:r>
      <w:r>
        <w:rPr>
          <w:rFonts w:hint="eastAsia" w:ascii="Calibri" w:eastAsia="宋体"/>
          <w:color w:val="auto"/>
          <w:highlight w:val="none"/>
          <w:lang w:val="zh-CN" w:eastAsia="zh-CN"/>
        </w:rPr>
        <w:t>中华人民共和国政府采购法</w:t>
      </w:r>
      <w:r>
        <w:rPr>
          <w:color w:val="auto"/>
          <w:highlight w:val="none"/>
          <w:lang w:val="zh-CN" w:eastAsia="zh-CN"/>
        </w:rPr>
        <w:t>》《中华人民共和国</w:t>
      </w:r>
      <w:r>
        <w:rPr>
          <w:rFonts w:hint="eastAsia" w:ascii="Calibri" w:eastAsia="宋体"/>
          <w:color w:val="auto"/>
          <w:highlight w:val="none"/>
          <w:lang w:val="zh-CN" w:eastAsia="zh-CN"/>
        </w:rPr>
        <w:t>中华人民共和国政府采购法</w:t>
      </w:r>
      <w:r>
        <w:rPr>
          <w:color w:val="auto"/>
          <w:highlight w:val="none"/>
          <w:lang w:val="zh-CN" w:eastAsia="zh-CN"/>
        </w:rPr>
        <w:t>实施条例》《政府采购竞争性磋商采购方式管理暂行办法》《财政部关于政府采购竞争性磋商采购方式管理暂行办法有关问题的补充通知》《政府采购非招标采购方式管理办法》《广东省实施＜中华人民共和国</w:t>
      </w:r>
      <w:r>
        <w:rPr>
          <w:rFonts w:hint="eastAsia" w:ascii="Calibri" w:eastAsia="宋体"/>
          <w:color w:val="auto"/>
          <w:highlight w:val="none"/>
          <w:lang w:val="zh-CN" w:eastAsia="zh-CN"/>
        </w:rPr>
        <w:t>中华人民共和国政府采购法</w:t>
      </w:r>
      <w:r>
        <w:rPr>
          <w:color w:val="auto"/>
          <w:highlight w:val="none"/>
          <w:lang w:val="zh-CN" w:eastAsia="zh-CN"/>
        </w:rPr>
        <w:t>＞办法》及政府采购其它相关法规。</w:t>
      </w:r>
    </w:p>
    <w:p w14:paraId="561EF92E">
      <w:pPr>
        <w:numPr>
          <w:ilvl w:val="0"/>
          <w:numId w:val="4"/>
        </w:numPr>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释义</w:t>
      </w:r>
      <w:bookmarkEnd w:id="21"/>
      <w:bookmarkEnd w:id="22"/>
      <w:bookmarkEnd w:id="23"/>
      <w:bookmarkEnd w:id="24"/>
      <w:bookmarkEnd w:id="25"/>
      <w:bookmarkEnd w:id="26"/>
      <w:bookmarkEnd w:id="27"/>
    </w:p>
    <w:p w14:paraId="77CCEEC2">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采购人</w:t>
      </w:r>
      <w:r>
        <w:rPr>
          <w:rFonts w:hint="eastAsia" w:ascii="宋体" w:hAnsi="宋体"/>
          <w:color w:val="auto"/>
          <w:highlight w:val="none"/>
          <w:lang w:val="en-GB"/>
        </w:rPr>
        <w:t>：是指</w:t>
      </w:r>
      <w:r>
        <w:rPr>
          <w:rFonts w:hint="eastAsia" w:ascii="宋体" w:hAnsi="宋体"/>
          <w:b/>
          <w:color w:val="auto"/>
          <w:highlight w:val="none"/>
          <w:u w:val="single"/>
          <w:lang w:eastAsia="zh-CN"/>
        </w:rPr>
        <w:t>佛山市禅城区祖庙街道城建和水务办公室</w:t>
      </w:r>
      <w:r>
        <w:rPr>
          <w:rFonts w:hint="eastAsia" w:ascii="宋体" w:hAnsi="宋体"/>
          <w:color w:val="auto"/>
          <w:highlight w:val="none"/>
          <w:lang w:val="en-GB"/>
        </w:rPr>
        <w:t>，负责项目的整体规划、技术方案可行性设计论证与实施，作为合同采购方(用户)的主体承担质疑回复、履行合同义务、验收与评价等义务。</w:t>
      </w:r>
    </w:p>
    <w:p w14:paraId="0EC5E33A">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ascii="宋体" w:hAnsi="宋体"/>
          <w:b/>
          <w:color w:val="auto"/>
          <w:highlight w:val="none"/>
          <w:lang w:val="en-GB"/>
        </w:rPr>
        <w:t>采购代理机构</w:t>
      </w:r>
      <w:r>
        <w:rPr>
          <w:rFonts w:ascii="宋体" w:hAnsi="宋体"/>
          <w:color w:val="auto"/>
          <w:highlight w:val="none"/>
          <w:lang w:val="en-GB"/>
        </w:rPr>
        <w:t>：</w:t>
      </w:r>
      <w:r>
        <w:rPr>
          <w:rFonts w:hint="eastAsia" w:ascii="宋体" w:hAnsi="宋体"/>
          <w:color w:val="auto"/>
          <w:highlight w:val="none"/>
          <w:lang w:val="en-GB"/>
        </w:rPr>
        <w:t>是指</w:t>
      </w:r>
      <w:r>
        <w:rPr>
          <w:rFonts w:hint="eastAsia" w:ascii="宋体" w:hAnsi="宋体"/>
          <w:b/>
          <w:color w:val="auto"/>
          <w:highlight w:val="none"/>
          <w:u w:val="single"/>
          <w:lang w:val="en-GB" w:eastAsia="zh-CN"/>
        </w:rPr>
        <w:t>华睿诚项目管理有限公司</w:t>
      </w:r>
      <w:r>
        <w:rPr>
          <w:rFonts w:hint="eastAsia" w:ascii="宋体" w:hAnsi="宋体"/>
          <w:color w:val="auto"/>
          <w:highlight w:val="none"/>
          <w:lang w:val="en-GB"/>
        </w:rPr>
        <w:t>，是整个采购活动的组织者，依法负责编制和发布磋商文件，对磋商文件拥有最终的解释权。</w:t>
      </w:r>
    </w:p>
    <w:p w14:paraId="6D402D97">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采购单位</w:t>
      </w:r>
      <w:r>
        <w:rPr>
          <w:rFonts w:hint="eastAsia" w:ascii="宋体" w:hAnsi="宋体"/>
          <w:color w:val="auto"/>
          <w:highlight w:val="none"/>
          <w:lang w:val="en-GB"/>
        </w:rPr>
        <w:t>：是指采购人、采购代理机构。</w:t>
      </w:r>
    </w:p>
    <w:p w14:paraId="1FE59999">
      <w:pPr>
        <w:numPr>
          <w:ilvl w:val="0"/>
          <w:numId w:val="5"/>
        </w:numPr>
        <w:tabs>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b/>
          <w:color w:val="auto"/>
          <w:highlight w:val="none"/>
          <w:lang w:val="zh-CN" w:eastAsia="zh-CN"/>
        </w:rPr>
        <w:t>“以上”“以下”“内”“以内”：</w:t>
      </w:r>
      <w:r>
        <w:rPr>
          <w:rFonts w:ascii="宋体" w:hAnsi="宋体" w:cs="宋体"/>
          <w:color w:val="auto"/>
          <w:highlight w:val="none"/>
          <w:lang w:val="zh-CN" w:eastAsia="zh-CN"/>
        </w:rPr>
        <w:t>是指包括本数。（有特别说明除外）</w:t>
      </w:r>
    </w:p>
    <w:p w14:paraId="6B9AE008">
      <w:pPr>
        <w:numPr>
          <w:ilvl w:val="0"/>
          <w:numId w:val="5"/>
        </w:numPr>
        <w:tabs>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b/>
          <w:color w:val="auto"/>
          <w:highlight w:val="none"/>
          <w:lang w:val="zh-CN" w:eastAsia="zh-CN"/>
        </w:rPr>
        <w:t>“不足”：</w:t>
      </w:r>
      <w:r>
        <w:rPr>
          <w:rFonts w:ascii="宋体" w:hAnsi="宋体" w:cs="宋体"/>
          <w:b w:val="0"/>
          <w:bCs/>
          <w:color w:val="auto"/>
          <w:highlight w:val="none"/>
          <w:lang w:val="zh-CN" w:eastAsia="zh-CN"/>
        </w:rPr>
        <w:t>是指不包括本数。</w:t>
      </w:r>
      <w:r>
        <w:rPr>
          <w:rFonts w:ascii="宋体" w:hAnsi="宋体" w:cs="宋体"/>
          <w:color w:val="auto"/>
          <w:highlight w:val="none"/>
          <w:lang w:val="zh-CN" w:eastAsia="zh-CN"/>
        </w:rPr>
        <w:t>（有特别说明除外）</w:t>
      </w:r>
    </w:p>
    <w:p w14:paraId="434BD9C2">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合格的供应商</w:t>
      </w:r>
      <w:r>
        <w:rPr>
          <w:rFonts w:hint="eastAsia" w:ascii="宋体" w:hAnsi="宋体"/>
          <w:color w:val="auto"/>
          <w:highlight w:val="none"/>
          <w:lang w:val="en-GB"/>
        </w:rPr>
        <w:t>：</w:t>
      </w:r>
    </w:p>
    <w:p w14:paraId="1FB05843">
      <w:pPr>
        <w:numPr>
          <w:ilvl w:val="1"/>
          <w:numId w:val="6"/>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符合《中华人民共和国</w:t>
      </w:r>
      <w:r>
        <w:rPr>
          <w:rFonts w:hint="eastAsia" w:ascii="宋体" w:hAnsi="宋体"/>
          <w:color w:val="auto"/>
          <w:highlight w:val="none"/>
          <w:lang w:val="en-GB" w:eastAsia="zh-CN"/>
        </w:rPr>
        <w:t>中华人民共和国政府采购法</w:t>
      </w:r>
      <w:r>
        <w:rPr>
          <w:rFonts w:hint="eastAsia" w:ascii="宋体" w:hAnsi="宋体"/>
          <w:color w:val="auto"/>
          <w:highlight w:val="none"/>
          <w:lang w:val="en-GB"/>
        </w:rPr>
        <w:t>》第二十二条及《中华人民共和国</w:t>
      </w:r>
      <w:r>
        <w:rPr>
          <w:rFonts w:hint="eastAsia" w:ascii="宋体" w:hAnsi="宋体"/>
          <w:color w:val="auto"/>
          <w:highlight w:val="none"/>
          <w:lang w:val="en-GB" w:eastAsia="zh-CN"/>
        </w:rPr>
        <w:t>中华人民共和国政府采购法</w:t>
      </w:r>
      <w:r>
        <w:rPr>
          <w:rFonts w:hint="eastAsia" w:ascii="宋体" w:hAnsi="宋体"/>
          <w:color w:val="auto"/>
          <w:highlight w:val="none"/>
          <w:lang w:val="en-GB"/>
        </w:rPr>
        <w:t>实施条例》第十七条的要求。</w:t>
      </w:r>
    </w:p>
    <w:p w14:paraId="10BD474D">
      <w:pPr>
        <w:numPr>
          <w:ilvl w:val="1"/>
          <w:numId w:val="6"/>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符合磋商文件规定的“供应商资格”要求及其他特殊条件要求。</w:t>
      </w:r>
    </w:p>
    <w:p w14:paraId="7A4D3A93">
      <w:pPr>
        <w:numPr>
          <w:ilvl w:val="1"/>
          <w:numId w:val="6"/>
        </w:numPr>
        <w:tabs>
          <w:tab w:val="left" w:pos="540"/>
        </w:tabs>
        <w:spacing w:line="360" w:lineRule="auto"/>
        <w:ind w:left="510" w:hanging="510"/>
        <w:rPr>
          <w:rFonts w:hint="eastAsia" w:ascii="宋体" w:hAnsi="宋体"/>
          <w:color w:val="auto"/>
          <w:highlight w:val="none"/>
          <w:lang w:val="en-GB"/>
        </w:rPr>
      </w:pPr>
      <w:r>
        <w:rPr>
          <w:rFonts w:hint="eastAsia" w:ascii="宋体" w:hAnsi="宋体" w:cs="宋体"/>
          <w:szCs w:val="24"/>
          <w:highlight w:val="none"/>
          <w:lang w:val="en-GB"/>
        </w:rPr>
        <w:t>根据《中华人民共和国政府采购法》第二十二条的要求，供应商参加政府采购活动应当具备下列条件：①</w:t>
      </w:r>
      <w:r>
        <w:rPr>
          <w:highlight w:val="none"/>
        </w:rPr>
        <w:t>具有独立承担民事责任的能力：在中华人民共和国境内注册的法人或其他组织或自然人， 投标（响应）时提交有效的营业执照（或事业法人登记证或身份证等相关证明）副本复印件</w:t>
      </w:r>
      <w:r>
        <w:rPr>
          <w:rFonts w:hint="eastAsia" w:ascii="宋体" w:hAnsi="宋体" w:cs="宋体"/>
          <w:szCs w:val="24"/>
          <w:highlight w:val="none"/>
          <w:lang w:val="en-GB"/>
        </w:rPr>
        <w:t>；②</w:t>
      </w:r>
      <w:r>
        <w:rPr>
          <w:highlight w:val="none"/>
        </w:rPr>
        <w:t>有依法缴纳税收和社会保障资金的良好记录：提供投标截止日前6个月内任意1个月依法缴纳税收和社会保障资金的相关材料。 如依法免税或不需要缴纳社会保障资金的，提供相应证明材料</w:t>
      </w:r>
      <w:r>
        <w:rPr>
          <w:rFonts w:hint="eastAsia" w:ascii="宋体" w:hAnsi="宋体" w:cs="宋体"/>
          <w:szCs w:val="24"/>
          <w:highlight w:val="none"/>
          <w:lang w:val="en-GB"/>
        </w:rPr>
        <w:t>；③</w:t>
      </w:r>
      <w:r>
        <w:rPr>
          <w:highlight w:val="none"/>
        </w:rPr>
        <w:t>具有良好的商业信誉和健全的财务会计制度：</w:t>
      </w:r>
      <w:r>
        <w:rPr>
          <w:rFonts w:hint="eastAsia" w:ascii="宋体" w:hAnsi="宋体" w:cs="宋体"/>
          <w:color w:val="000000"/>
          <w:szCs w:val="24"/>
          <w:highlight w:val="none"/>
          <w:shd w:val="clear" w:color="auto" w:fill="FFFFFF"/>
        </w:rPr>
        <w:t>（提供下列材料复印件之一即可）</w:t>
      </w:r>
      <w:r>
        <w:rPr>
          <w:rFonts w:hint="eastAsia"/>
          <w:highlight w:val="none"/>
        </w:rPr>
        <w:t>1）经审计的</w:t>
      </w:r>
      <w:r>
        <w:rPr>
          <w:rFonts w:hint="eastAsia" w:eastAsia="宋体"/>
          <w:highlight w:val="none"/>
          <w:lang w:eastAsia="zh-CN"/>
        </w:rPr>
        <w:t>2022 年度或2023年</w:t>
      </w:r>
      <w:r>
        <w:rPr>
          <w:rFonts w:hint="eastAsia"/>
          <w:highlight w:val="none"/>
        </w:rPr>
        <w:t>任意一季度的财务报告（要求：提供由第三方会计师事务所或审计机构出具的审计报告，能清晰显示第三方会计师事务所或审计机构的印章，并能反映审计结论。）。2）基本开户银行出具的资信证明和开户证明材料（要求： ①资信证明内容应能够清晰准确反映供应商最近6 个月内任意一个月（从本项目采购公告发布之日起，往前倒推计算）的商业信誉情况和满足采购文件有关要求。如成立时间不足6个月的，按其开立基本存款账户开户时间提供。②资信证明的落款单位名称必须与开户（基本户）的开户银行名称一致。③资信证明书格式有抬头的，可以写本项目的采购人或代理机构单位全称。④开户（基本户）许可证已取消的，应提供能体现基本开户银行的“基本存款账户信息”的相关证明。）。3）财政部门认可的政府采购专业担保机构出具的投标担保函。</w:t>
      </w:r>
      <w:r>
        <w:rPr>
          <w:rFonts w:hint="eastAsia" w:ascii="宋体" w:hAnsi="宋体" w:cs="宋体"/>
          <w:szCs w:val="24"/>
          <w:highlight w:val="none"/>
          <w:lang w:val="en-GB"/>
        </w:rPr>
        <w:t>；④</w:t>
      </w:r>
      <w:r>
        <w:rPr>
          <w:highlight w:val="none"/>
        </w:rPr>
        <w:t>履行合同所必需的设备和专业技术能力：</w:t>
      </w:r>
      <w:r>
        <w:rPr>
          <w:rFonts w:hint="eastAsia"/>
          <w:highlight w:val="none"/>
        </w:rPr>
        <w:t>提供具有履行合同所必需的设备和专业技术能力的承诺函</w:t>
      </w:r>
      <w:r>
        <w:rPr>
          <w:rFonts w:hint="eastAsia" w:ascii="宋体" w:hAnsi="宋体" w:cs="宋体"/>
          <w:szCs w:val="24"/>
          <w:highlight w:val="none"/>
          <w:lang w:val="en-GB"/>
        </w:rPr>
        <w:t>；⑤参加采购活动前3年内，在经营活动中没有重大违法记录：参照投标（报价）函相关承诺格式内容。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⑥法律、行政法规规定的其他条件</w:t>
      </w:r>
      <w:r>
        <w:rPr>
          <w:rFonts w:hint="eastAsia" w:ascii="宋体" w:hAnsi="宋体"/>
          <w:color w:val="auto"/>
          <w:highlight w:val="none"/>
          <w:lang w:val="en-GB"/>
        </w:rPr>
        <w:t>。</w:t>
      </w:r>
    </w:p>
    <w:p w14:paraId="5D5A8ADE">
      <w:pPr>
        <w:numPr>
          <w:ilvl w:val="1"/>
          <w:numId w:val="6"/>
        </w:numPr>
        <w:tabs>
          <w:tab w:val="left" w:pos="540"/>
        </w:tabs>
        <w:spacing w:line="360" w:lineRule="auto"/>
        <w:ind w:left="510" w:hanging="510"/>
        <w:rPr>
          <w:rFonts w:hint="eastAsia" w:ascii="宋体" w:hAnsi="宋体"/>
          <w:color w:val="auto"/>
          <w:highlight w:val="none"/>
          <w:lang w:val="en-GB"/>
        </w:rPr>
      </w:pPr>
      <w:r>
        <w:rPr>
          <w:rFonts w:hint="eastAsia" w:ascii="宋体" w:hAnsi="宋体" w:cs="宋体"/>
          <w:szCs w:val="24"/>
          <w:highlight w:val="none"/>
          <w:lang w:val="en-GB"/>
        </w:rPr>
        <w:t>重大违法记录，是指供应商因违法经营受到刑事处罚或者责令停产停业、吊销许可证或者执照、较大数额罚款等行政处罚。提供（书面声明函，较大数额罚款认定为200万元以上的罚款，法律、行政法规以及国务院有关部门明确规定相关领域“较大数额罚款”标准高于200万元的，从其规定）</w:t>
      </w:r>
      <w:r>
        <w:rPr>
          <w:rFonts w:hint="eastAsia" w:ascii="宋体" w:hAnsi="宋体"/>
          <w:color w:val="auto"/>
          <w:highlight w:val="none"/>
          <w:lang w:val="en-GB"/>
        </w:rPr>
        <w:t>。</w:t>
      </w:r>
    </w:p>
    <w:p w14:paraId="5B7C95B5">
      <w:pPr>
        <w:numPr>
          <w:ilvl w:val="1"/>
          <w:numId w:val="6"/>
        </w:numPr>
        <w:tabs>
          <w:tab w:val="left" w:pos="480"/>
          <w:tab w:val="clear" w:pos="510"/>
        </w:tabs>
        <w:spacing w:line="360" w:lineRule="auto"/>
        <w:ind w:left="470" w:hanging="470"/>
        <w:rPr>
          <w:rFonts w:hint="eastAsia" w:ascii="宋体" w:hAnsi="宋体"/>
          <w:color w:val="auto"/>
          <w:highlight w:val="none"/>
          <w:lang w:val="en-GB"/>
        </w:rPr>
      </w:pPr>
      <w:r>
        <w:rPr>
          <w:rFonts w:hint="eastAsia" w:ascii="宋体" w:hAnsi="宋体"/>
          <w:color w:val="auto"/>
          <w:highlight w:val="none"/>
          <w:lang w:val="en-GB"/>
        </w:rPr>
        <w:t>根据</w:t>
      </w:r>
      <w:r>
        <w:rPr>
          <w:rFonts w:hint="eastAsia" w:ascii="宋体" w:hAnsi="宋体" w:cs="宋体"/>
          <w:szCs w:val="24"/>
          <w:highlight w:val="none"/>
          <w:lang w:val="en-GB"/>
        </w:rPr>
        <w:t>佛山市中级人民法院《启用执行联动机制决定书》和《协助执行通知书》的要求，供应商若为名单上的失信被执行人，限制其从事政府采购业务。按照《财政部关于在政府采购活动中查询及使用信用记录有关问题的通知》（财库2016]125 号）的要求，根据信用中国网站、中国政府采购网查询信息，对被列入“信用中国”网站(www.creditchina.gov.cn)“记录失信被执行人或重大税收违法失信主体（即原“重大税收违法案件当事人名单”）”记录名单；处于中国政府采购网(www.ccgp.gov.cn)“政府采购严重违法失信行为信息记录”中的禁止参加政府采购活动期间及其他不符合《中华人民共和国政府采购法》第二十二条规定条件的供应商，拒绝其参与政府采购活动。联合体成员存在不良信用记录的，视同联合体存在不良信用记录</w:t>
      </w:r>
      <w:r>
        <w:rPr>
          <w:rFonts w:hint="eastAsia" w:ascii="宋体" w:hAnsi="宋体" w:cs="宋体"/>
          <w:b/>
          <w:bCs/>
          <w:color w:val="auto"/>
          <w:highlight w:val="none"/>
          <w:lang w:eastAsia="zh-CN"/>
        </w:rPr>
        <w:t>。</w:t>
      </w:r>
    </w:p>
    <w:p w14:paraId="65831E42">
      <w:pPr>
        <w:numPr>
          <w:ilvl w:val="1"/>
          <w:numId w:val="6"/>
        </w:numPr>
        <w:tabs>
          <w:tab w:val="left" w:pos="540"/>
          <w:tab w:val="clear" w:pos="510"/>
        </w:tabs>
        <w:spacing w:line="360" w:lineRule="auto"/>
        <w:ind w:left="470" w:hanging="470"/>
        <w:rPr>
          <w:rFonts w:hint="eastAsia" w:ascii="宋体" w:hAnsi="宋体"/>
          <w:color w:val="auto"/>
          <w:highlight w:val="none"/>
          <w:lang w:val="en-GB"/>
        </w:rPr>
      </w:pPr>
      <w:r>
        <w:rPr>
          <w:rFonts w:hint="eastAsia" w:ascii="宋体" w:hAnsi="宋体"/>
          <w:color w:val="auto"/>
          <w:highlight w:val="none"/>
          <w:lang w:val="en-GB"/>
        </w:rPr>
        <w:t>供应商在参加政府采购活动前 3 年内因违法经营被禁止在一定期限内参加政府采购活动，期限届满的，可以参加政府采购活动。按竞争性磋商公告或磋商邀请函的要求报名及获取本项目磋商文件。</w:t>
      </w:r>
    </w:p>
    <w:p w14:paraId="56288207">
      <w:pPr>
        <w:numPr>
          <w:ilvl w:val="1"/>
          <w:numId w:val="6"/>
        </w:numPr>
        <w:tabs>
          <w:tab w:val="left" w:pos="0"/>
          <w:tab w:val="left" w:pos="540"/>
          <w:tab w:val="clear" w:pos="510"/>
        </w:tabs>
        <w:spacing w:line="360" w:lineRule="auto"/>
        <w:ind w:left="470" w:hanging="470"/>
        <w:rPr>
          <w:rFonts w:hint="eastAsia" w:ascii="宋体" w:hAnsi="宋体"/>
          <w:color w:val="auto"/>
          <w:highlight w:val="none"/>
          <w:lang w:val="en-GB"/>
        </w:rPr>
      </w:pPr>
      <w:r>
        <w:rPr>
          <w:rFonts w:hint="eastAsia" w:ascii="宋体" w:hAnsi="宋体"/>
          <w:color w:val="auto"/>
          <w:highlight w:val="none"/>
          <w:lang w:val="en-GB"/>
        </w:rPr>
        <w:t>说明：供应商按规定获取了本磋商文件并非意味着满足了合格、有效供应商的基本条件，一切均以磋商小组评定确认的结果为准。</w:t>
      </w:r>
    </w:p>
    <w:p w14:paraId="1E196E8D">
      <w:pPr>
        <w:numPr>
          <w:ilvl w:val="1"/>
          <w:numId w:val="6"/>
        </w:numPr>
        <w:tabs>
          <w:tab w:val="left" w:pos="540"/>
        </w:tabs>
        <w:spacing w:line="360" w:lineRule="auto"/>
        <w:ind w:left="510" w:hanging="510"/>
        <w:rPr>
          <w:rFonts w:hint="eastAsia" w:ascii="宋体" w:hAnsi="宋体"/>
          <w:color w:val="auto"/>
          <w:highlight w:val="none"/>
          <w:lang w:val="en-GB"/>
        </w:rPr>
      </w:pPr>
      <w:r>
        <w:rPr>
          <w:rFonts w:hint="eastAsia" w:ascii="宋体" w:hAnsi="宋体"/>
          <w:b/>
          <w:bCs/>
          <w:color w:val="auto"/>
          <w:highlight w:val="none"/>
          <w:lang w:val="en-GB"/>
        </w:rPr>
        <w:t>成交供应商：</w:t>
      </w:r>
      <w:r>
        <w:rPr>
          <w:rFonts w:hint="eastAsia" w:ascii="宋体" w:hAnsi="宋体"/>
          <w:color w:val="auto"/>
          <w:highlight w:val="none"/>
          <w:lang w:val="en-GB"/>
        </w:rPr>
        <w:t>是指经法定程序确定并授予合同的供应商。</w:t>
      </w:r>
    </w:p>
    <w:p w14:paraId="70B1DE7C">
      <w:pPr>
        <w:numPr>
          <w:ilvl w:val="0"/>
          <w:numId w:val="5"/>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实质性响应</w:t>
      </w:r>
      <w:r>
        <w:rPr>
          <w:rFonts w:hint="eastAsia" w:ascii="宋体" w:hAnsi="宋体"/>
          <w:color w:val="auto"/>
          <w:highlight w:val="none"/>
          <w:lang w:val="en-GB"/>
        </w:rPr>
        <w:t>：是指符合磋商文件的所有要求、条款、条件和规定，且没有不利于项目实施质量效果和服务保障的重大偏离。磋商文件中标注“★”号的条款（如有</w:t>
      </w:r>
      <w:r>
        <w:rPr>
          <w:rFonts w:ascii="宋体" w:hAnsi="宋体"/>
          <w:color w:val="auto"/>
          <w:highlight w:val="none"/>
          <w:lang w:val="en-GB"/>
        </w:rPr>
        <w:t>）</w:t>
      </w:r>
      <w:r>
        <w:rPr>
          <w:rFonts w:hint="eastAsia" w:ascii="宋体" w:hAnsi="宋体"/>
          <w:color w:val="auto"/>
          <w:highlight w:val="none"/>
          <w:lang w:val="en-GB"/>
        </w:rPr>
        <w:t>为不可负偏离（劣于）的重要要求，在投标响应时须完全响应，若其中一项出现负偏离时将作无效投标/响应处理。</w:t>
      </w:r>
    </w:p>
    <w:p w14:paraId="56591C43">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重大偏离</w:t>
      </w:r>
      <w:r>
        <w:rPr>
          <w:rFonts w:hint="eastAsia" w:ascii="宋体" w:hAnsi="宋体"/>
          <w:color w:val="auto"/>
          <w:highlight w:val="none"/>
          <w:lang w:val="en-GB"/>
        </w:rPr>
        <w:t>：是指影响到磋商文件规定的范围、质量和性能或限制了采购人的权力和供应商义务的规定，而调整纠正这些偏离将直接影响到其它供应商的公平竞争地位。</w:t>
      </w:r>
    </w:p>
    <w:p w14:paraId="4971B014">
      <w:pPr>
        <w:numPr>
          <w:ilvl w:val="0"/>
          <w:numId w:val="5"/>
        </w:numPr>
        <w:tabs>
          <w:tab w:val="left" w:pos="540"/>
        </w:tabs>
        <w:snapToGrid w:val="0"/>
        <w:spacing w:line="360" w:lineRule="auto"/>
        <w:ind w:left="510" w:hanging="510"/>
        <w:rPr>
          <w:rFonts w:ascii="宋体" w:hAnsi="宋体" w:cs="宋体"/>
          <w:color w:val="auto"/>
          <w:highlight w:val="none"/>
          <w:lang w:val="zh-CN" w:eastAsia="zh-CN"/>
        </w:rPr>
      </w:pPr>
      <w:r>
        <w:rPr>
          <w:rFonts w:hint="eastAsia" w:ascii="宋体" w:hAnsi="宋体"/>
          <w:b/>
          <w:color w:val="auto"/>
          <w:highlight w:val="none"/>
          <w:lang w:val="en-GB"/>
        </w:rPr>
        <w:t>中小企业：</w:t>
      </w:r>
      <w:r>
        <w:rPr>
          <w:rFonts w:ascii="宋体" w:hAnsi="宋体" w:cs="宋体"/>
          <w:b w:val="0"/>
          <w:bCs/>
          <w:color w:val="auto"/>
          <w:highlight w:val="none"/>
          <w:lang w:val="zh-CN" w:eastAsia="zh-CN"/>
        </w:rPr>
        <w:t>（</w:t>
      </w:r>
      <w:r>
        <w:rPr>
          <w:rFonts w:ascii="宋体" w:hAnsi="宋体" w:cs="宋体"/>
          <w:b w:val="0"/>
          <w:bCs/>
          <w:color w:val="auto"/>
          <w:highlight w:val="none"/>
          <w:lang w:val="en-US" w:eastAsia="zh-CN"/>
        </w:rPr>
        <w:t>1</w:t>
      </w:r>
      <w:r>
        <w:rPr>
          <w:rFonts w:ascii="宋体" w:hAnsi="宋体" w:cs="宋体"/>
          <w:b w:val="0"/>
          <w:bCs/>
          <w:color w:val="auto"/>
          <w:highlight w:val="none"/>
          <w:lang w:val="zh-CN" w:eastAsia="zh-CN"/>
        </w:rPr>
        <w:t>）</w:t>
      </w:r>
      <w:r>
        <w:rPr>
          <w:rFonts w:ascii="宋体" w:hAnsi="宋体" w:cs="宋体"/>
          <w:color w:val="auto"/>
          <w:highlight w:val="none"/>
        </w:rPr>
        <w:t>根据</w:t>
      </w:r>
      <w:r>
        <w:rPr>
          <w:rFonts w:ascii="宋体" w:hAnsi="宋体" w:cs="宋体"/>
          <w:color w:val="auto"/>
          <w:highlight w:val="none"/>
          <w:lang w:val="zh-CN" w:eastAsia="zh-CN"/>
        </w:rPr>
        <w:t>《政府采购促进中小企业发展管理办法》（财库〔2020〕46号），包含中型、小型、微型企业，</w:t>
      </w:r>
      <w:r>
        <w:rPr>
          <w:rFonts w:ascii="宋体" w:hAnsi="宋体" w:cs="宋体"/>
          <w:color w:val="auto"/>
          <w:highlight w:val="none"/>
          <w:lang w:val="en-GB"/>
        </w:rPr>
        <w:t>具体标准依据工信部联企业〔2011〕300号文件进行划分</w:t>
      </w:r>
      <w:r>
        <w:rPr>
          <w:rFonts w:ascii="宋体" w:hAnsi="宋体" w:cs="宋体"/>
          <w:color w:val="auto"/>
          <w:highlight w:val="none"/>
          <w:lang w:val="zh-CN"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F5901ED">
      <w:pPr>
        <w:numPr>
          <w:ilvl w:val="0"/>
          <w:numId w:val="0"/>
        </w:numPr>
        <w:tabs>
          <w:tab w:val="left" w:pos="540"/>
        </w:tabs>
        <w:snapToGrid w:val="0"/>
        <w:spacing w:line="360" w:lineRule="auto"/>
        <w:ind w:left="480" w:firstLine="0"/>
        <w:rPr>
          <w:rFonts w:ascii="宋体" w:hAnsi="宋体" w:cs="宋体"/>
          <w:color w:val="auto"/>
          <w:highlight w:val="none"/>
          <w:lang w:val="zh-CN" w:eastAsia="zh-CN"/>
        </w:rPr>
      </w:pPr>
      <w:r>
        <w:rPr>
          <w:rFonts w:ascii="宋体" w:hAnsi="宋体" w:cs="宋体"/>
          <w:color w:val="auto"/>
          <w:highlight w:val="none"/>
          <w:lang w:val="zh-CN" w:eastAsia="zh-CN"/>
        </w:rPr>
        <w:t>(2) 根据《财政部 司法部关于政府采购支持监狱企业发展有关问题的通知》（财库〔2014〕68 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戒毒管理局(含新疆生产建设兵团)出具的属于监狱企业的证明文件。</w:t>
      </w:r>
    </w:p>
    <w:p w14:paraId="6745DB7A">
      <w:pPr>
        <w:numPr>
          <w:ilvl w:val="0"/>
          <w:numId w:val="0"/>
        </w:numPr>
        <w:tabs>
          <w:tab w:val="left" w:pos="540"/>
        </w:tabs>
        <w:snapToGrid w:val="0"/>
        <w:spacing w:line="360" w:lineRule="auto"/>
        <w:ind w:left="480" w:leftChars="200" w:firstLine="0" w:firstLineChars="0"/>
        <w:rPr>
          <w:rFonts w:hint="eastAsia" w:ascii="宋体" w:hAnsi="宋体"/>
          <w:color w:val="auto"/>
          <w:highlight w:val="none"/>
          <w:lang w:val="en-GB"/>
        </w:rPr>
      </w:pPr>
      <w:r>
        <w:rPr>
          <w:color w:val="auto"/>
          <w:highlight w:val="none"/>
          <w:lang w:val="zh-CN" w:eastAsia="zh-CN"/>
        </w:rPr>
        <w:t>（</w:t>
      </w:r>
      <w:r>
        <w:rPr>
          <w:color w:val="auto"/>
          <w:highlight w:val="none"/>
          <w:lang w:val="en-US" w:eastAsia="zh-CN"/>
        </w:rPr>
        <w:t>3</w:t>
      </w:r>
      <w:r>
        <w:rPr>
          <w:color w:val="auto"/>
          <w:highlight w:val="none"/>
          <w:lang w:val="zh-CN" w:eastAsia="zh-CN"/>
        </w:rPr>
        <w:t>）根据《财政部</w:t>
      </w:r>
      <w:r>
        <w:rPr>
          <w:rFonts w:eastAsia="Times New Roman"/>
          <w:color w:val="auto"/>
          <w:highlight w:val="none"/>
          <w:lang w:val="zh-CN" w:eastAsia="zh-CN"/>
        </w:rPr>
        <w:t xml:space="preserve"> </w:t>
      </w:r>
      <w:r>
        <w:rPr>
          <w:color w:val="auto"/>
          <w:highlight w:val="none"/>
          <w:lang w:val="zh-CN" w:eastAsia="zh-CN"/>
        </w:rPr>
        <w:t>民政部</w:t>
      </w:r>
      <w:r>
        <w:rPr>
          <w:rFonts w:eastAsia="Times New Roman"/>
          <w:color w:val="auto"/>
          <w:highlight w:val="none"/>
          <w:lang w:val="zh-CN" w:eastAsia="zh-CN"/>
        </w:rPr>
        <w:t xml:space="preserve"> </w:t>
      </w:r>
      <w:r>
        <w:rPr>
          <w:color w:val="auto"/>
          <w:highlight w:val="none"/>
          <w:lang w:val="zh-CN" w:eastAsia="zh-CN"/>
        </w:rPr>
        <w:t>中国残疾人联合会关于促进残疾人就业政府采购政策的通知》（财库〔2017〕141 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5863D99D">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bCs/>
          <w:color w:val="auto"/>
          <w:highlight w:val="none"/>
          <w:lang w:val="en-GB"/>
        </w:rPr>
        <w:t>日期、天数、时间：</w:t>
      </w:r>
      <w:r>
        <w:rPr>
          <w:rFonts w:hint="eastAsia" w:ascii="宋体" w:hAnsi="宋体"/>
          <w:color w:val="auto"/>
          <w:highlight w:val="none"/>
          <w:lang w:val="en-GB"/>
        </w:rPr>
        <w:t>未有特别说明时，均为公历日（天）及北京时间。</w:t>
      </w:r>
    </w:p>
    <w:p w14:paraId="70174A21">
      <w:pPr>
        <w:numPr>
          <w:ilvl w:val="0"/>
          <w:numId w:val="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计息期</w:t>
      </w:r>
      <w:r>
        <w:rPr>
          <w:rFonts w:hint="eastAsia" w:ascii="宋体" w:hAnsi="宋体"/>
          <w:color w:val="auto"/>
          <w:highlight w:val="none"/>
          <w:lang w:val="en-GB"/>
        </w:rPr>
        <w:t>：项目周期内均不计息。（有特别说明除外）</w:t>
      </w:r>
    </w:p>
    <w:p w14:paraId="2EFF8256">
      <w:pPr>
        <w:numPr>
          <w:ilvl w:val="0"/>
          <w:numId w:val="4"/>
        </w:numPr>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同义词语</w:t>
      </w:r>
    </w:p>
    <w:p w14:paraId="3FBDA3CA">
      <w:pPr>
        <w:snapToGrid w:val="0"/>
        <w:spacing w:line="360" w:lineRule="auto"/>
        <w:ind w:left="510"/>
        <w:rPr>
          <w:rFonts w:hint="eastAsia" w:ascii="宋体" w:hAnsi="宋体"/>
          <w:b/>
          <w:color w:val="auto"/>
          <w:highlight w:val="none"/>
          <w:lang w:val="en-GB"/>
        </w:rPr>
      </w:pPr>
      <w:r>
        <w:rPr>
          <w:rFonts w:ascii="宋体" w:hAnsi="宋体"/>
          <w:color w:val="auto"/>
          <w:highlight w:val="none"/>
          <w:lang w:val="en-GB"/>
        </w:rPr>
        <w:t>以下词语</w:t>
      </w:r>
      <w:r>
        <w:rPr>
          <w:rFonts w:hint="eastAsia" w:ascii="宋体" w:hAnsi="宋体"/>
          <w:color w:val="auto"/>
          <w:highlight w:val="none"/>
          <w:lang w:val="en-GB"/>
        </w:rPr>
        <w:t>应按相同定义进行理解：</w:t>
      </w:r>
    </w:p>
    <w:p w14:paraId="003E3790">
      <w:pPr>
        <w:numPr>
          <w:ilvl w:val="0"/>
          <w:numId w:val="7"/>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“磋商文件”、“竞争性磋商文件”与“采购文件”；</w:t>
      </w:r>
    </w:p>
    <w:p w14:paraId="00272DD4">
      <w:pPr>
        <w:numPr>
          <w:ilvl w:val="0"/>
          <w:numId w:val="7"/>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“投标文件”与“响应文件”、“磋商响应文件”；</w:t>
      </w:r>
    </w:p>
    <w:p w14:paraId="7B8DB532">
      <w:pPr>
        <w:numPr>
          <w:ilvl w:val="0"/>
          <w:numId w:val="7"/>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招标阶段的“招标人”、“采购人”、“招标单位”、“采购单位”及合同签订阶段的“甲方”、“买方”、“发包人”；</w:t>
      </w:r>
    </w:p>
    <w:p w14:paraId="6D4F2F89">
      <w:pPr>
        <w:numPr>
          <w:ilvl w:val="0"/>
          <w:numId w:val="7"/>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招标阶段的“投标人”、“供应商”及合同签订阶段的“乙方”、“卖方”、“承包人”；</w:t>
      </w:r>
    </w:p>
    <w:p w14:paraId="78AA728B">
      <w:pPr>
        <w:numPr>
          <w:ilvl w:val="0"/>
          <w:numId w:val="7"/>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招标阶段的“成交供应商”、“成交供应商”、“成交人”、“成交供应商”及合同签订阶段的“乙方”、“卖方”、“承包人”；</w:t>
      </w:r>
    </w:p>
    <w:p w14:paraId="100CD265">
      <w:pPr>
        <w:numPr>
          <w:ilvl w:val="0"/>
          <w:numId w:val="7"/>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“磋商小组”与“竞争性磋商小组”。</w:t>
      </w:r>
    </w:p>
    <w:p w14:paraId="783A3D3B">
      <w:pPr>
        <w:rPr>
          <w:rFonts w:ascii="宋体" w:hAnsi="宋体"/>
          <w:color w:val="auto"/>
          <w:highlight w:val="none"/>
          <w:lang w:val="en-GB"/>
        </w:rPr>
      </w:pPr>
    </w:p>
    <w:p w14:paraId="4DDF898F">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bookmarkStart w:id="28" w:name="_Toc15067"/>
      <w:r>
        <w:rPr>
          <w:rFonts w:hint="eastAsia" w:ascii="Cambria" w:hAnsi="Cambria" w:eastAsia="宋体" w:cs="Times New Roman"/>
          <w:b/>
          <w:bCs/>
          <w:color w:val="auto"/>
          <w:kern w:val="2"/>
          <w:sz w:val="32"/>
          <w:szCs w:val="32"/>
          <w:highlight w:val="none"/>
          <w:lang w:val="en-US" w:eastAsia="zh-CN" w:bidi="ar-SA"/>
        </w:rPr>
        <w:t>二、磋商文件的说明</w:t>
      </w:r>
      <w:bookmarkEnd w:id="28"/>
    </w:p>
    <w:p w14:paraId="29A82FC2">
      <w:pPr>
        <w:numPr>
          <w:ilvl w:val="0"/>
          <w:numId w:val="8"/>
        </w:numPr>
        <w:snapToGrid w:val="0"/>
        <w:spacing w:line="360" w:lineRule="auto"/>
        <w:ind w:left="510" w:hanging="510"/>
        <w:rPr>
          <w:rFonts w:ascii="宋体" w:hAnsi="宋体"/>
          <w:b/>
          <w:color w:val="auto"/>
          <w:highlight w:val="none"/>
          <w:lang w:val="en-GB"/>
        </w:rPr>
      </w:pPr>
      <w:r>
        <w:rPr>
          <w:rFonts w:hint="eastAsia" w:ascii="宋体" w:hAnsi="宋体"/>
          <w:b/>
          <w:color w:val="auto"/>
          <w:highlight w:val="none"/>
          <w:lang w:val="en-GB"/>
        </w:rPr>
        <w:t>磋商文件的构成</w:t>
      </w:r>
    </w:p>
    <w:p w14:paraId="5DC7226B">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磋商文件由下列文件组成：①磋商邀请函（或竞争性磋商公告）；②采购项目内容；③供应商须知；④合同书范本；⑤响应文件格式；⑥</w:t>
      </w:r>
      <w:r>
        <w:rPr>
          <w:rFonts w:hint="eastAsia" w:ascii="宋体" w:hAnsi="宋体"/>
          <w:color w:val="auto"/>
          <w:highlight w:val="none"/>
        </w:rPr>
        <w:t>在招标采购过程中由招标采购单位发出的修正和补充文件、答复文件等。</w:t>
      </w:r>
    </w:p>
    <w:p w14:paraId="433762E8">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认真阅读并充分理解磋商文件的全部内容（包括所有的补充、修改内容、重要事项、格式、条款和技术规范、参数及要求等）。供应商没有按照磋商文件要求提交全部资料，或者投标/响应没有对磋商文件在各方面都做出实质性响应是供应商的风险，有可能导致其投标/响应被拒绝，或被认定为无效投标/响应或被确定为投标/响应无效。</w:t>
      </w:r>
    </w:p>
    <w:p w14:paraId="7542EA05">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磋商文件采用电子文档和纸质盖章文件形式制作，两种介质不一致时以纸质盖章文件为准。</w:t>
      </w:r>
    </w:p>
    <w:p w14:paraId="46A49504">
      <w:pPr>
        <w:numPr>
          <w:ilvl w:val="1"/>
          <w:numId w:val="8"/>
        </w:numPr>
        <w:tabs>
          <w:tab w:val="left" w:pos="540"/>
        </w:tabs>
        <w:snapToGrid w:val="0"/>
        <w:spacing w:line="360" w:lineRule="auto"/>
        <w:ind w:left="510" w:hanging="510"/>
        <w:rPr>
          <w:rFonts w:ascii="宋体" w:hAnsi="宋体"/>
          <w:color w:val="auto"/>
          <w:highlight w:val="none"/>
          <w:lang w:val="en-GB"/>
        </w:rPr>
      </w:pPr>
      <w:bookmarkStart w:id="29" w:name="_Toc49329256"/>
      <w:bookmarkStart w:id="30" w:name="_Toc55812447"/>
      <w:r>
        <w:rPr>
          <w:rFonts w:hint="eastAsia" w:ascii="宋体" w:hAnsi="宋体"/>
          <w:color w:val="auto"/>
          <w:highlight w:val="none"/>
          <w:lang w:val="en-GB"/>
        </w:rPr>
        <w:t>磋商文件的采购技术要求内容与法律法规有冲突的，解释处理顺序为：①以官方强制性要求或行业标准规范为准；②以本磋商文件约定的技术要求为准。</w:t>
      </w:r>
    </w:p>
    <w:p w14:paraId="6981162A">
      <w:pPr>
        <w:numPr>
          <w:ilvl w:val="0"/>
          <w:numId w:val="8"/>
        </w:numPr>
        <w:tabs>
          <w:tab w:val="left" w:pos="540"/>
        </w:tabs>
        <w:snapToGrid w:val="0"/>
        <w:spacing w:line="360" w:lineRule="auto"/>
        <w:ind w:left="510" w:hanging="510"/>
        <w:rPr>
          <w:rFonts w:ascii="宋体" w:hAnsi="宋体"/>
          <w:b/>
          <w:color w:val="auto"/>
          <w:highlight w:val="none"/>
          <w:lang w:val="en-GB"/>
        </w:rPr>
      </w:pPr>
      <w:bookmarkStart w:id="31" w:name="_Toc276220259"/>
      <w:bookmarkStart w:id="32" w:name="_Toc113157423"/>
      <w:bookmarkStart w:id="33" w:name="_Toc276220240"/>
      <w:bookmarkStart w:id="34" w:name="_Toc275954887"/>
      <w:r>
        <w:rPr>
          <w:rFonts w:ascii="宋体" w:hAnsi="宋体"/>
          <w:b/>
          <w:color w:val="auto"/>
          <w:highlight w:val="none"/>
          <w:lang w:val="en-GB"/>
        </w:rPr>
        <w:t>磋商文件的澄清</w:t>
      </w:r>
    </w:p>
    <w:bookmarkEnd w:id="29"/>
    <w:bookmarkEnd w:id="30"/>
    <w:bookmarkEnd w:id="31"/>
    <w:bookmarkEnd w:id="32"/>
    <w:bookmarkEnd w:id="33"/>
    <w:bookmarkEnd w:id="34"/>
    <w:p w14:paraId="1BE12A20">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任何要求对磋商文件进行澄清的供应商，均应以书面形式在提交响应文件截止时间</w:t>
      </w:r>
      <w:r>
        <w:rPr>
          <w:rFonts w:hint="eastAsia" w:ascii="宋体" w:hAnsi="宋体"/>
          <w:b/>
          <w:color w:val="auto"/>
          <w:highlight w:val="none"/>
        </w:rPr>
        <w:t>5个工作</w:t>
      </w:r>
      <w:r>
        <w:rPr>
          <w:rFonts w:hint="eastAsia" w:ascii="宋体" w:hAnsi="宋体"/>
          <w:b/>
          <w:color w:val="auto"/>
          <w:highlight w:val="none"/>
          <w:lang w:val="en-GB"/>
        </w:rPr>
        <w:t>日</w:t>
      </w:r>
      <w:r>
        <w:rPr>
          <w:rFonts w:hint="eastAsia" w:ascii="宋体" w:hAnsi="宋体"/>
          <w:color w:val="auto"/>
          <w:highlight w:val="none"/>
          <w:lang w:val="en-GB"/>
        </w:rPr>
        <w:t>以前通知采购代理机构。采购代理机构将组织采购人对供应商所要求澄清的内容均以书面形式予以答复。</w:t>
      </w:r>
    </w:p>
    <w:p w14:paraId="7BFE4BDF">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供应商在规定的时间内未对磋商文件澄清或提出疑问的，采购代理机构将视其为无异议。对磋商文件中描述有歧义或前后不一致的地方，磋商小组有权进行评判，但对同一条款的评判应适用于每个供应商。</w:t>
      </w:r>
    </w:p>
    <w:p w14:paraId="3AA20F49">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供应商在收到采购代理机构答复后，应于</w:t>
      </w:r>
      <w:r>
        <w:rPr>
          <w:rFonts w:hint="eastAsia" w:ascii="宋体" w:hAnsi="宋体"/>
          <w:b/>
          <w:color w:val="auto"/>
          <w:highlight w:val="none"/>
          <w:lang w:val="en-GB"/>
        </w:rPr>
        <w:t>24小时</w:t>
      </w:r>
      <w:r>
        <w:rPr>
          <w:rFonts w:hint="eastAsia" w:ascii="宋体" w:hAnsi="宋体"/>
          <w:color w:val="auto"/>
          <w:highlight w:val="none"/>
          <w:lang w:val="en-GB"/>
        </w:rPr>
        <w:t>内，在澄清（答疑、答复）文件盖章页加盖单位公章，并将该文件传真或邮件发给采购代理机构以确认答复。逾期未能确认答复的，视为已收到和确认该澄清（答疑、答复）文件。</w:t>
      </w:r>
    </w:p>
    <w:p w14:paraId="6D873570">
      <w:pPr>
        <w:numPr>
          <w:ilvl w:val="0"/>
          <w:numId w:val="8"/>
        </w:numPr>
        <w:tabs>
          <w:tab w:val="left" w:pos="540"/>
        </w:tabs>
        <w:snapToGrid w:val="0"/>
        <w:spacing w:line="360" w:lineRule="auto"/>
        <w:ind w:left="510" w:hanging="510"/>
        <w:rPr>
          <w:rFonts w:ascii="宋体" w:hAnsi="宋体"/>
          <w:b/>
          <w:color w:val="auto"/>
          <w:highlight w:val="none"/>
          <w:lang w:val="en-GB"/>
        </w:rPr>
      </w:pPr>
      <w:r>
        <w:rPr>
          <w:rFonts w:hint="eastAsia" w:ascii="宋体" w:hAnsi="宋体"/>
          <w:b/>
          <w:color w:val="auto"/>
          <w:highlight w:val="none"/>
          <w:lang w:val="en-GB"/>
        </w:rPr>
        <w:t>磋商文件的修改</w:t>
      </w:r>
    </w:p>
    <w:p w14:paraId="23B78286">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提交首次响应文件截止时间前，招标采购单位可以对已发出的磋商文件进行必要的澄清或者修改，澄清或者修改的内容作为磋商文件的组成部分。澄清或者修改的内容可能影响响应文件编制的，招标采购单位应当在提交首次响应文件截止时间至少</w:t>
      </w:r>
      <w:r>
        <w:rPr>
          <w:rFonts w:hint="eastAsia" w:ascii="宋体" w:hAnsi="宋体"/>
          <w:b/>
          <w:color w:val="auto"/>
          <w:highlight w:val="none"/>
          <w:lang w:val="en-GB"/>
        </w:rPr>
        <w:t>5日</w:t>
      </w:r>
      <w:r>
        <w:rPr>
          <w:rFonts w:hint="eastAsia" w:ascii="宋体" w:hAnsi="宋体"/>
          <w:color w:val="auto"/>
          <w:highlight w:val="none"/>
          <w:lang w:val="en-GB"/>
        </w:rPr>
        <w:t>前，以书面形式通知所有获取磋商文件的供应商；不足</w:t>
      </w:r>
      <w:r>
        <w:rPr>
          <w:rFonts w:hint="eastAsia" w:ascii="宋体" w:hAnsi="宋体"/>
          <w:b/>
          <w:color w:val="auto"/>
          <w:highlight w:val="none"/>
          <w:lang w:val="en-GB"/>
        </w:rPr>
        <w:t>5日</w:t>
      </w:r>
      <w:r>
        <w:rPr>
          <w:rFonts w:hint="eastAsia" w:ascii="宋体" w:hAnsi="宋体"/>
          <w:color w:val="auto"/>
          <w:highlight w:val="none"/>
          <w:lang w:val="en-GB"/>
        </w:rPr>
        <w:t>的，招标采购单位应当顺延提交首次响应文件截止时间。</w:t>
      </w:r>
    </w:p>
    <w:p w14:paraId="056E4C7A">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修改后的内容是磋商文件的组成部分，将以书面形式通知所有购买磋商文件的潜在供应商，并对潜在供应商具有约束力。供应商在收到通知后，应于24小时内，在修改文件盖章页加盖单位公章，并将该文件传真或邮件发给采购代理机构以确认答复。逾期没有确认答复的，将视为已收到和确认该修改文件。</w:t>
      </w:r>
    </w:p>
    <w:p w14:paraId="4C9A2866">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为使供应商准备投标/响应时有充分时间对磋商文件的修改部分进行研究分析，在磋商文件要求提交响应文件的截止时间</w:t>
      </w:r>
      <w:r>
        <w:rPr>
          <w:rFonts w:hint="eastAsia" w:ascii="宋体" w:hAnsi="宋体"/>
          <w:b/>
          <w:color w:val="auto"/>
          <w:highlight w:val="none"/>
          <w:lang w:val="en-GB"/>
        </w:rPr>
        <w:t>3日</w:t>
      </w:r>
      <w:r>
        <w:rPr>
          <w:rFonts w:hint="eastAsia" w:ascii="宋体" w:hAnsi="宋体"/>
          <w:color w:val="auto"/>
          <w:highlight w:val="none"/>
          <w:lang w:val="en-GB"/>
        </w:rPr>
        <w:t>前，招标采购单位可以视采购具体情况适当推迟提交响应文件截止时间和开标时间，并将变更时间书面通知所有磋商文件收受人。</w:t>
      </w:r>
    </w:p>
    <w:p w14:paraId="55EF8EA3">
      <w:pPr>
        <w:numPr>
          <w:ilvl w:val="0"/>
          <w:numId w:val="8"/>
        </w:numPr>
        <w:tabs>
          <w:tab w:val="left" w:pos="540"/>
        </w:tabs>
        <w:snapToGrid w:val="0"/>
        <w:spacing w:line="360" w:lineRule="auto"/>
        <w:ind w:left="540" w:hanging="540"/>
        <w:rPr>
          <w:rFonts w:hint="eastAsia" w:ascii="宋体" w:hAnsi="宋体"/>
          <w:b/>
          <w:color w:val="auto"/>
          <w:highlight w:val="none"/>
          <w:lang w:val="en-GB"/>
        </w:rPr>
      </w:pPr>
      <w:r>
        <w:rPr>
          <w:rFonts w:hint="eastAsia" w:ascii="宋体" w:hAnsi="宋体"/>
          <w:b/>
          <w:color w:val="auto"/>
          <w:highlight w:val="none"/>
          <w:lang w:val="en-GB"/>
        </w:rPr>
        <w:t>其他情形</w:t>
      </w:r>
    </w:p>
    <w:p w14:paraId="3AD7D2D0">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本项目不举行答疑会，不组织踏勘现场。供应商踏勘现场的费用、责任及风险均自行承担。</w:t>
      </w:r>
    </w:p>
    <w:p w14:paraId="766C12F5">
      <w:pPr>
        <w:numPr>
          <w:ilvl w:val="1"/>
          <w:numId w:val="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采购代理机构在磋商文件的澄清或修改期间，对供应商联系信息均以报名时填报的信息为依据。</w:t>
      </w:r>
    </w:p>
    <w:p w14:paraId="720663DE">
      <w:pPr>
        <w:rPr>
          <w:rFonts w:ascii="宋体" w:hAnsi="宋体"/>
          <w:color w:val="auto"/>
          <w:highlight w:val="none"/>
          <w:lang w:val="en-GB"/>
        </w:rPr>
      </w:pPr>
    </w:p>
    <w:p w14:paraId="3439431B">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bookmarkStart w:id="35" w:name="_Toc4590"/>
      <w:r>
        <w:rPr>
          <w:rFonts w:hint="eastAsia" w:ascii="Cambria" w:hAnsi="Cambria" w:eastAsia="宋体" w:cs="Times New Roman"/>
          <w:b/>
          <w:bCs/>
          <w:color w:val="auto"/>
          <w:kern w:val="2"/>
          <w:sz w:val="32"/>
          <w:szCs w:val="32"/>
          <w:highlight w:val="none"/>
          <w:lang w:val="en-US" w:eastAsia="zh-CN" w:bidi="ar-SA"/>
        </w:rPr>
        <w:t>三、响应文件的说明</w:t>
      </w:r>
      <w:bookmarkEnd w:id="35"/>
    </w:p>
    <w:p w14:paraId="57048956">
      <w:pPr>
        <w:numPr>
          <w:ilvl w:val="0"/>
          <w:numId w:val="9"/>
        </w:numPr>
        <w:tabs>
          <w:tab w:val="left" w:pos="540"/>
        </w:tabs>
        <w:snapToGrid w:val="0"/>
        <w:spacing w:line="360" w:lineRule="auto"/>
        <w:ind w:left="510" w:hanging="510"/>
        <w:rPr>
          <w:rFonts w:hint="eastAsia" w:ascii="宋体" w:hAnsi="宋体"/>
          <w:b/>
          <w:color w:val="auto"/>
          <w:highlight w:val="none"/>
          <w:lang w:val="en-GB"/>
        </w:rPr>
      </w:pPr>
      <w:bookmarkStart w:id="36" w:name="_Toc5575604"/>
      <w:bookmarkStart w:id="37" w:name="_Toc528736183"/>
      <w:bookmarkStart w:id="38" w:name="_Toc20564611"/>
      <w:bookmarkStart w:id="39" w:name="_Toc136682893"/>
      <w:bookmarkStart w:id="40" w:name="_Toc332090771"/>
      <w:bookmarkStart w:id="41" w:name="_Toc136662917"/>
      <w:bookmarkStart w:id="42" w:name="_Toc119321128"/>
      <w:bookmarkStart w:id="43" w:name="_Toc276220260"/>
      <w:bookmarkStart w:id="44" w:name="_Toc20564523"/>
      <w:bookmarkStart w:id="45" w:name="_Toc275954888"/>
      <w:bookmarkStart w:id="46" w:name="_Toc20571357"/>
      <w:bookmarkStart w:id="47" w:name="_Toc5578667"/>
      <w:bookmarkStart w:id="48" w:name="_Toc20144977"/>
      <w:r>
        <w:rPr>
          <w:rFonts w:hint="eastAsia" w:ascii="宋体" w:hAnsi="宋体"/>
          <w:b/>
          <w:color w:val="auto"/>
          <w:highlight w:val="none"/>
          <w:lang w:val="en-GB"/>
        </w:rPr>
        <w:t>投标/响应的语言</w:t>
      </w:r>
    </w:p>
    <w:p w14:paraId="7CC3B96E">
      <w:pPr>
        <w:numPr>
          <w:ilvl w:val="0"/>
          <w:numId w:val="10"/>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提交的响应文件以及供应商与采购代理机构就有关投标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246FA0ED">
      <w:pPr>
        <w:numPr>
          <w:ilvl w:val="0"/>
          <w:numId w:val="9"/>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响应文件的构成应符合法律法规及磋商文件的要求。</w:t>
      </w:r>
    </w:p>
    <w:p w14:paraId="02BDC255">
      <w:pPr>
        <w:numPr>
          <w:ilvl w:val="0"/>
          <w:numId w:val="9"/>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响应文件编制</w:t>
      </w:r>
    </w:p>
    <w:p w14:paraId="5CB096A3">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响应文件应按“第五部分 响应文件格式”的要求以A4版面编制（图纸可以用A3版面编制，折叠成A4尺寸）进行编写，并逐页编排不间断的连续页码。</w:t>
      </w:r>
    </w:p>
    <w:p w14:paraId="625BACC5">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响应文件自制部分必须打印，每份内页须按序加注页码。如有必要，可以增加附页，作为响应文件的组成部分。</w:t>
      </w:r>
    </w:p>
    <w:p w14:paraId="79B003DB">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响应文件所使用的公章必须与供应商名称一致，不能以其它业务章或附属机构章代替。</w:t>
      </w:r>
    </w:p>
    <w:p w14:paraId="7AA6F958">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供应商对磋商文件中多个包（组）进行投标的，其响应文件的编制应按每个包（组）的要求分别装订和封装。</w:t>
      </w:r>
    </w:p>
    <w:p w14:paraId="4955D74D">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供应商应当对响应文件进行装订，装订应牢固可靠，对未经装订或因装订不牢固的响应文件可能发生的文件散落或缺损，由此产生的后果由供应商承担。</w:t>
      </w:r>
    </w:p>
    <w:p w14:paraId="65D299CA">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任何行间插字、涂改和增删，必须由供应商法定代表人或全权代表在旁边签字或加盖供应商公章后方为有效。</w:t>
      </w:r>
    </w:p>
    <w:p w14:paraId="4A533955">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供应商应完整、真实、准确的填写磋商文件中规定的所有内容。</w:t>
      </w:r>
    </w:p>
    <w:p w14:paraId="73CFA507">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必须对响应文件所提供的全部资料的真实性承担法律责任，并无条件接受采购代理机构及政府采购监督管理部门等对其中任何资料进行核实的要求。供应商必须对响应文件所提供的全部资料的真实性承担法律责任。供应商应保证提交的资料合法真实且准确有效，如发现自身资料被盗用或复制，应遵循法律途径解决，追究侵权者责任。</w:t>
      </w:r>
    </w:p>
    <w:p w14:paraId="1BE22462">
      <w:pPr>
        <w:numPr>
          <w:ilvl w:val="0"/>
          <w:numId w:val="1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如果因为供应商响应文件填报的内容不详，或没有提供磋商文件中所要求的全部资料及数据，由此造成的后果，其责任由供应商承担。</w:t>
      </w:r>
    </w:p>
    <w:p w14:paraId="59D0E3BC">
      <w:pPr>
        <w:numPr>
          <w:ilvl w:val="0"/>
          <w:numId w:val="9"/>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磋商报价</w:t>
      </w:r>
    </w:p>
    <w:p w14:paraId="61C75744">
      <w:pPr>
        <w:numPr>
          <w:ilvl w:val="0"/>
          <w:numId w:val="12"/>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供应商所提供的服务均应以人民币报价，若同时以人民币及外币报价的，以人民币报价为准。</w:t>
      </w:r>
    </w:p>
    <w:p w14:paraId="1C92CD7B">
      <w:pPr>
        <w:numPr>
          <w:ilvl w:val="0"/>
          <w:numId w:val="12"/>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供应商应按照“第二部分 采购项目内容”规定的内容、责任范围以及合同条款进行报价。并按《报价一览表》和《磋商报价汇总表》确定的格式报出分项价格和总价。投标总价中不得包含磋商文件要求以外的内容，否则，在评标时不予核减。投标总价中也不得缺漏磋商文件所要求的内容，否则，其投标时视为已将缺漏内容包含在投标总价中。</w:t>
      </w:r>
    </w:p>
    <w:p w14:paraId="073C9CC1">
      <w:pPr>
        <w:numPr>
          <w:ilvl w:val="0"/>
          <w:numId w:val="9"/>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备选方案</w:t>
      </w:r>
    </w:p>
    <w:p w14:paraId="799513F5">
      <w:pPr>
        <w:tabs>
          <w:tab w:val="left" w:pos="540"/>
        </w:tabs>
        <w:snapToGrid w:val="0"/>
        <w:spacing w:line="360" w:lineRule="auto"/>
        <w:ind w:left="510"/>
        <w:rPr>
          <w:rFonts w:hint="eastAsia" w:ascii="宋体" w:hAnsi="宋体"/>
          <w:color w:val="auto"/>
          <w:highlight w:val="none"/>
          <w:lang w:val="en-GB"/>
        </w:rPr>
      </w:pPr>
      <w:r>
        <w:rPr>
          <w:rFonts w:hint="eastAsia" w:ascii="宋体" w:hAnsi="宋体"/>
          <w:color w:val="auto"/>
          <w:highlight w:val="none"/>
          <w:lang w:val="en-GB"/>
        </w:rPr>
        <w:t>只允许供应商有一个投标方案，否则将被视为无效投标/响应。（磋商文件允许有备选方案的除外）</w:t>
      </w:r>
    </w:p>
    <w:p w14:paraId="55129355">
      <w:pPr>
        <w:numPr>
          <w:ilvl w:val="0"/>
          <w:numId w:val="9"/>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联合体投标/响应（在“</w:t>
      </w:r>
      <w:r>
        <w:rPr>
          <w:rFonts w:hint="eastAsia" w:ascii="宋体" w:hAnsi="宋体"/>
          <w:b/>
          <w:color w:val="auto"/>
          <w:highlight w:val="none"/>
        </w:rPr>
        <w:t>供应商资格”允许的情况下执行</w:t>
      </w:r>
      <w:r>
        <w:rPr>
          <w:rFonts w:hint="eastAsia" w:ascii="宋体" w:hAnsi="宋体"/>
          <w:b/>
          <w:color w:val="auto"/>
          <w:highlight w:val="none"/>
          <w:lang w:val="en-GB"/>
        </w:rPr>
        <w:t>）</w:t>
      </w:r>
    </w:p>
    <w:p w14:paraId="7B2F8559">
      <w:pPr>
        <w:tabs>
          <w:tab w:val="left" w:pos="540"/>
        </w:tabs>
        <w:snapToGrid w:val="0"/>
        <w:spacing w:line="360" w:lineRule="auto"/>
        <w:ind w:left="510"/>
        <w:rPr>
          <w:rFonts w:hint="eastAsia" w:ascii="宋体" w:hAnsi="宋体"/>
          <w:color w:val="auto"/>
          <w:highlight w:val="none"/>
          <w:lang w:val="en-GB"/>
        </w:rPr>
      </w:pPr>
      <w:r>
        <w:rPr>
          <w:rFonts w:hint="eastAsia" w:ascii="宋体" w:hAnsi="宋体"/>
          <w:color w:val="auto"/>
          <w:highlight w:val="none"/>
          <w:lang w:val="en-GB"/>
        </w:rPr>
        <w:t>组成联合体投标/响应的按政府采购的法律、法规、规章等有关规定执行。</w:t>
      </w:r>
    </w:p>
    <w:p w14:paraId="59D5CB95">
      <w:pPr>
        <w:tabs>
          <w:tab w:val="left" w:pos="540"/>
        </w:tabs>
        <w:snapToGrid w:val="0"/>
        <w:spacing w:line="360" w:lineRule="auto"/>
        <w:ind w:left="510"/>
        <w:rPr>
          <w:rFonts w:hint="eastAsia" w:ascii="宋体" w:hAnsi="宋体"/>
          <w:color w:val="auto"/>
          <w:highlight w:val="none"/>
          <w:lang w:val="en-GB"/>
        </w:rPr>
      </w:pPr>
      <w:r>
        <w:rPr>
          <w:rFonts w:hint="eastAsia" w:ascii="宋体" w:hAnsi="宋体"/>
          <w:color w:val="auto"/>
          <w:highlight w:val="none"/>
          <w:lang w:val="en-GB"/>
        </w:rPr>
        <w:t>基本如下：联合体各方均须符合</w:t>
      </w:r>
      <w:r>
        <w:rPr>
          <w:rFonts w:hint="eastAsia" w:ascii="宋体" w:hAnsi="宋体"/>
          <w:color w:val="auto"/>
          <w:highlight w:val="none"/>
          <w:lang w:val="en-GB" w:eastAsia="zh-CN"/>
        </w:rPr>
        <w:t>中华人民共和国政府采购法</w:t>
      </w:r>
      <w:r>
        <w:rPr>
          <w:rFonts w:hint="eastAsia" w:ascii="宋体" w:hAnsi="宋体"/>
          <w:color w:val="auto"/>
          <w:highlight w:val="none"/>
          <w:lang w:val="en-GB"/>
        </w:rPr>
        <w:t>规相关条件。采购人根据采购项目的特殊要求规定供应商特定条件的，联合体中至少应当有一方符合采购人规定的特定条件。由同一资质条件的供应商组成的联合体，按照资质等级较低的供应商确定联合体的资质等级。联合体的任何一方在参与本次投标中，不得再以独立体名义或在其它联合体中重复出现。</w:t>
      </w:r>
    </w:p>
    <w:p w14:paraId="29EFBC1E">
      <w:pPr>
        <w:numPr>
          <w:ilvl w:val="0"/>
          <w:numId w:val="0"/>
        </w:numPr>
        <w:tabs>
          <w:tab w:val="left" w:pos="540"/>
        </w:tabs>
        <w:snapToGrid w:val="0"/>
        <w:spacing w:line="360" w:lineRule="auto"/>
        <w:ind w:leftChars="0"/>
        <w:rPr>
          <w:rFonts w:hint="eastAsia" w:ascii="宋体" w:hAnsi="宋体"/>
          <w:b/>
          <w:color w:val="auto"/>
          <w:highlight w:val="none"/>
          <w:lang w:val="en-GB" w:eastAsia="zh-CN"/>
        </w:rPr>
      </w:pPr>
      <w:r>
        <w:rPr>
          <w:rFonts w:hint="eastAsia" w:ascii="宋体" w:hAnsi="宋体"/>
          <w:b/>
          <w:color w:val="auto"/>
          <w:highlight w:val="none"/>
          <w:lang w:val="en-US" w:eastAsia="zh-CN"/>
        </w:rPr>
        <w:t>3.7.</w:t>
      </w:r>
      <w:r>
        <w:rPr>
          <w:rFonts w:hint="eastAsia" w:ascii="宋体" w:hAnsi="宋体"/>
          <w:b/>
          <w:color w:val="auto"/>
          <w:highlight w:val="none"/>
          <w:lang w:val="en-GB"/>
        </w:rPr>
        <w:t>磋商保证金</w:t>
      </w:r>
    </w:p>
    <w:p w14:paraId="26B17FB0">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供应商应按磋商文件规定的金额和期限交纳磋商保证金，磋商保证金作为响应文件的组成部分。</w:t>
      </w:r>
    </w:p>
    <w:p w14:paraId="7116AA67">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本项目磋商保证金的金额见《供应商须知前附表》。</w:t>
      </w:r>
    </w:p>
    <w:p w14:paraId="02684803">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磋商保证金提交形式：详见《供应商须知前附表》。</w:t>
      </w:r>
    </w:p>
    <w:p w14:paraId="33D60263">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以下为采用[银行汇款或转账]形式的注意事项：</w:t>
      </w:r>
    </w:p>
    <w:p w14:paraId="1E5397E9">
      <w:pPr>
        <w:numPr>
          <w:ilvl w:val="1"/>
          <w:numId w:val="1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供应商汇出账户名称（即银行到账名称）必须与投标供应商的对公账户名称一致。</w:t>
      </w:r>
    </w:p>
    <w:p w14:paraId="667FB083">
      <w:pPr>
        <w:numPr>
          <w:ilvl w:val="1"/>
          <w:numId w:val="1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供应商应在</w:t>
      </w:r>
      <w:r>
        <w:rPr>
          <w:rFonts w:hint="eastAsia" w:ascii="宋体" w:hAnsi="宋体"/>
          <w:color w:val="auto"/>
          <w:szCs w:val="24"/>
          <w:highlight w:val="none"/>
        </w:rPr>
        <w:t>磋商保证金到账</w:t>
      </w:r>
      <w:r>
        <w:rPr>
          <w:rFonts w:hint="eastAsia" w:ascii="宋体" w:hAnsi="宋体"/>
          <w:color w:val="auto"/>
          <w:highlight w:val="none"/>
          <w:lang w:val="en-GB"/>
        </w:rPr>
        <w:t>截止时间（详见《供应商须知前附表》）前（以收款方银行账户到账时间为准），将磋商保证金按规定金额一次性转入或汇入到指定的磋商保证金银行账户（详见《供应商须知前附表》），否则投标无效。</w:t>
      </w:r>
    </w:p>
    <w:p w14:paraId="1E022D42">
      <w:pPr>
        <w:numPr>
          <w:ilvl w:val="1"/>
          <w:numId w:val="1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磋商保证金银行账户信息详见《供应商须知前附表》。</w:t>
      </w:r>
    </w:p>
    <w:p w14:paraId="016FAE36">
      <w:pPr>
        <w:numPr>
          <w:ilvl w:val="1"/>
          <w:numId w:val="1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银行到账时间：指即以银行出具的电子回单的到账时间。到账证明以采购代理机构从银行系统中打印的磋商保证金进账记录单为准。</w:t>
      </w:r>
    </w:p>
    <w:p w14:paraId="4D9C9772">
      <w:pPr>
        <w:numPr>
          <w:ilvl w:val="1"/>
          <w:numId w:val="14"/>
        </w:numPr>
        <w:tabs>
          <w:tab w:val="left" w:pos="540"/>
        </w:tabs>
        <w:spacing w:line="360" w:lineRule="auto"/>
        <w:ind w:left="510" w:hanging="510"/>
        <w:rPr>
          <w:rFonts w:hint="eastAsia" w:ascii="宋体" w:hAnsi="宋体"/>
          <w:b/>
          <w:color w:val="auto"/>
          <w:highlight w:val="none"/>
          <w:lang w:val="en-GB"/>
        </w:rPr>
      </w:pPr>
      <w:r>
        <w:rPr>
          <w:rFonts w:hint="eastAsia" w:ascii="宋体" w:hAnsi="宋体"/>
          <w:color w:val="auto"/>
          <w:highlight w:val="none"/>
          <w:lang w:val="en-GB"/>
        </w:rPr>
        <w:t>为确保磋商保证金的顺利退回，供应商应在提交响应文件时，应提交一份《磋商保证金退付书》（格式及内容详见磋商文件第五部分响应文件格式）放在报价信封中。采购代理机构在法律规定的时间内按《磋商保证金退付书》上的信息退回保证金。</w:t>
      </w:r>
      <w:r>
        <w:rPr>
          <w:rFonts w:hint="eastAsia" w:ascii="宋体" w:hAnsi="宋体"/>
          <w:b/>
          <w:color w:val="auto"/>
          <w:highlight w:val="none"/>
          <w:lang w:val="en-GB"/>
        </w:rPr>
        <w:t>切勿填错信息或不提交，以免影响保证金退还的速度。</w:t>
      </w:r>
    </w:p>
    <w:p w14:paraId="6BBA0829">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以下为采用</w:t>
      </w:r>
      <w:r>
        <w:rPr>
          <w:rFonts w:hint="eastAsia" w:ascii="宋体" w:hAnsi="宋体"/>
          <w:b/>
          <w:color w:val="auto"/>
          <w:highlight w:val="none"/>
          <w:lang w:val="en-GB"/>
        </w:rPr>
        <w:t>[担保函]</w:t>
      </w:r>
      <w:r>
        <w:rPr>
          <w:rFonts w:hint="eastAsia" w:ascii="宋体" w:hAnsi="宋体"/>
          <w:color w:val="auto"/>
          <w:highlight w:val="none"/>
          <w:lang w:val="en-GB"/>
        </w:rPr>
        <w:t>形式的注意事项：</w:t>
      </w:r>
    </w:p>
    <w:p w14:paraId="2487AEA2">
      <w:pPr>
        <w:numPr>
          <w:ilvl w:val="1"/>
          <w:numId w:val="15"/>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具体办理方式详见《政府采购投标（报价）担保业务办理指南》。</w:t>
      </w:r>
    </w:p>
    <w:p w14:paraId="256E4C5D">
      <w:pPr>
        <w:numPr>
          <w:ilvl w:val="1"/>
          <w:numId w:val="15"/>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采用专业担保机构（详见《政府采购投标（报价）担保业务办理指南》）出具的担保函方式提交磋商保证金的，保证期间/时间（即担保函有效期）不得少于本项目投标有效期，诉讼管辖地法院为采购人住地所在区人民法院。</w:t>
      </w:r>
    </w:p>
    <w:p w14:paraId="76BFA802">
      <w:pPr>
        <w:numPr>
          <w:ilvl w:val="1"/>
          <w:numId w:val="15"/>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担保函原件送达</w:t>
      </w:r>
      <w:r>
        <w:rPr>
          <w:rFonts w:hint="eastAsia" w:ascii="宋体" w:hAnsi="宋体"/>
          <w:color w:val="auto"/>
          <w:szCs w:val="24"/>
          <w:highlight w:val="none"/>
        </w:rPr>
        <w:t>截止时间详见</w:t>
      </w:r>
      <w:r>
        <w:rPr>
          <w:rFonts w:hint="eastAsia" w:ascii="宋体" w:hAnsi="宋体"/>
          <w:color w:val="auto"/>
          <w:highlight w:val="none"/>
          <w:lang w:val="en-GB"/>
        </w:rPr>
        <w:t>《供应商须知前附表》。</w:t>
      </w:r>
    </w:p>
    <w:p w14:paraId="2D8FA464">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ascii="宋体" w:hAnsi="宋体"/>
          <w:color w:val="auto"/>
          <w:highlight w:val="none"/>
          <w:lang w:val="en-GB"/>
        </w:rPr>
        <w:t>供应商未按要求交纳磋商保证金</w:t>
      </w:r>
      <w:r>
        <w:rPr>
          <w:rFonts w:hint="eastAsia" w:ascii="宋体" w:hAnsi="宋体"/>
          <w:color w:val="auto"/>
          <w:highlight w:val="none"/>
          <w:lang w:val="en-GB"/>
        </w:rPr>
        <w:t>的为无效投标/响应</w:t>
      </w:r>
      <w:r>
        <w:rPr>
          <w:rFonts w:ascii="宋体" w:hAnsi="宋体"/>
          <w:color w:val="auto"/>
          <w:highlight w:val="none"/>
          <w:lang w:val="en-GB"/>
        </w:rPr>
        <w:t>，其响应文件</w:t>
      </w:r>
      <w:r>
        <w:rPr>
          <w:rFonts w:hint="eastAsia" w:ascii="宋体" w:hAnsi="宋体"/>
          <w:color w:val="auto"/>
          <w:highlight w:val="none"/>
          <w:lang w:val="en-GB"/>
        </w:rPr>
        <w:t>将被拒绝接收。已接收的响应文件，在宣布</w:t>
      </w:r>
      <w:r>
        <w:rPr>
          <w:rFonts w:ascii="宋体" w:hAnsi="宋体"/>
          <w:color w:val="auto"/>
          <w:highlight w:val="none"/>
          <w:lang w:val="en-GB"/>
        </w:rPr>
        <w:t>磋商保证金</w:t>
      </w:r>
      <w:r>
        <w:rPr>
          <w:rFonts w:hint="eastAsia" w:ascii="宋体" w:hAnsi="宋体"/>
          <w:color w:val="auto"/>
          <w:highlight w:val="none"/>
          <w:lang w:val="en-GB"/>
        </w:rPr>
        <w:t>无效时，响应文件将原封退还。</w:t>
      </w:r>
    </w:p>
    <w:p w14:paraId="4FD49B48">
      <w:pPr>
        <w:numPr>
          <w:ilvl w:val="0"/>
          <w:numId w:val="13"/>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磋商保证金的退还：</w:t>
      </w:r>
      <w:r>
        <w:rPr>
          <w:rFonts w:ascii="宋体" w:hAnsi="宋体"/>
          <w:color w:val="auto"/>
          <w:highlight w:val="none"/>
          <w:lang w:val="en-GB"/>
        </w:rPr>
        <w:t>成交供应商的磋商保证金将在其与采购人签定合同并经见证后</w:t>
      </w:r>
      <w:r>
        <w:rPr>
          <w:rFonts w:hint="eastAsia" w:ascii="宋体" w:hAnsi="宋体"/>
          <w:color w:val="auto"/>
          <w:highlight w:val="none"/>
          <w:lang w:val="en-GB"/>
        </w:rPr>
        <w:t>五</w:t>
      </w:r>
      <w:r>
        <w:rPr>
          <w:rFonts w:ascii="宋体" w:hAnsi="宋体"/>
          <w:color w:val="auto"/>
          <w:highlight w:val="none"/>
          <w:lang w:val="en-GB"/>
        </w:rPr>
        <w:t>个工作日内予以全额无息退还；</w:t>
      </w:r>
      <w:r>
        <w:rPr>
          <w:rFonts w:hint="eastAsia" w:ascii="宋体" w:hAnsi="宋体"/>
          <w:color w:val="auto"/>
          <w:highlight w:val="none"/>
          <w:lang w:val="en-GB"/>
        </w:rPr>
        <w:t>未中标/成交</w:t>
      </w:r>
      <w:r>
        <w:rPr>
          <w:rFonts w:ascii="宋体" w:hAnsi="宋体"/>
          <w:color w:val="auto"/>
          <w:highlight w:val="none"/>
          <w:lang w:val="en-GB"/>
        </w:rPr>
        <w:t>的</w:t>
      </w:r>
      <w:r>
        <w:rPr>
          <w:rFonts w:hint="eastAsia" w:ascii="宋体" w:hAnsi="宋体"/>
          <w:color w:val="auto"/>
          <w:highlight w:val="none"/>
          <w:lang w:val="en-GB"/>
        </w:rPr>
        <w:t>投标供应商的</w:t>
      </w:r>
      <w:r>
        <w:rPr>
          <w:rFonts w:ascii="宋体" w:hAnsi="宋体"/>
          <w:color w:val="auto"/>
          <w:highlight w:val="none"/>
          <w:lang w:val="en-GB"/>
        </w:rPr>
        <w:t>磋商保证金在成交通知书发出后</w:t>
      </w:r>
      <w:r>
        <w:rPr>
          <w:rFonts w:hint="eastAsia" w:ascii="宋体" w:hAnsi="宋体"/>
          <w:color w:val="auto"/>
          <w:highlight w:val="none"/>
          <w:lang w:val="en-GB"/>
        </w:rPr>
        <w:t>五</w:t>
      </w:r>
      <w:r>
        <w:rPr>
          <w:rFonts w:ascii="宋体" w:hAnsi="宋体"/>
          <w:color w:val="auto"/>
          <w:highlight w:val="none"/>
          <w:lang w:val="en-GB"/>
        </w:rPr>
        <w:t>个工作日内予以全额无息退还</w:t>
      </w:r>
      <w:r>
        <w:rPr>
          <w:rFonts w:hint="eastAsia" w:ascii="宋体" w:hAnsi="宋体"/>
          <w:color w:val="auto"/>
          <w:highlight w:val="none"/>
          <w:lang w:val="en-GB"/>
        </w:rPr>
        <w:t>；如有质疑或投诉，将在质疑和投诉处理完毕后全额无息退还。</w:t>
      </w:r>
    </w:p>
    <w:p w14:paraId="3B0E705A">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成交供应商的磋商保证金的退还，必须同时满足以下要求：</w:t>
      </w:r>
    </w:p>
    <w:p w14:paraId="1134F670">
      <w:pPr>
        <w:numPr>
          <w:ilvl w:val="1"/>
          <w:numId w:val="16"/>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成交供应商按供应商须知的规定签订合同，</w:t>
      </w:r>
      <w:r>
        <w:rPr>
          <w:rFonts w:ascii="宋体" w:hAnsi="宋体"/>
          <w:color w:val="auto"/>
          <w:highlight w:val="none"/>
          <w:lang w:val="en-GB"/>
        </w:rPr>
        <w:t>并</w:t>
      </w:r>
      <w:r>
        <w:rPr>
          <w:rFonts w:hint="eastAsia" w:ascii="宋体" w:hAnsi="宋体"/>
          <w:color w:val="auto"/>
          <w:highlight w:val="none"/>
          <w:lang w:val="en-GB"/>
        </w:rPr>
        <w:t>按合同书范本向采购代理机构提供合同。</w:t>
      </w:r>
    </w:p>
    <w:p w14:paraId="3A2C660F">
      <w:pPr>
        <w:numPr>
          <w:ilvl w:val="1"/>
          <w:numId w:val="16"/>
        </w:numPr>
        <w:tabs>
          <w:tab w:val="left" w:pos="540"/>
        </w:tabs>
        <w:spacing w:line="360" w:lineRule="auto"/>
        <w:ind w:left="510" w:hanging="510"/>
        <w:rPr>
          <w:rFonts w:ascii="宋体" w:hAnsi="宋体"/>
          <w:color w:val="auto"/>
          <w:highlight w:val="none"/>
          <w:lang w:val="en-GB"/>
        </w:rPr>
      </w:pPr>
      <w:r>
        <w:rPr>
          <w:rFonts w:hint="eastAsia" w:ascii="宋体" w:hAnsi="宋体"/>
          <w:color w:val="auto"/>
          <w:highlight w:val="none"/>
          <w:lang w:val="en-GB"/>
        </w:rPr>
        <w:t>成交供应商按供应商须知的规定支付了足额的成交服务费。</w:t>
      </w:r>
    </w:p>
    <w:p w14:paraId="57B6CF5C">
      <w:pPr>
        <w:numPr>
          <w:ilvl w:val="0"/>
          <w:numId w:val="13"/>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下列任何一种情况发生时，磋商保证金将被没收：</w:t>
      </w:r>
    </w:p>
    <w:p w14:paraId="03E40BCF">
      <w:pPr>
        <w:numPr>
          <w:ilvl w:val="1"/>
          <w:numId w:val="17"/>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供应商在规定的投标有效期内撤回其投标/响应；</w:t>
      </w:r>
    </w:p>
    <w:p w14:paraId="5E0EC6C7">
      <w:pPr>
        <w:numPr>
          <w:ilvl w:val="1"/>
          <w:numId w:val="17"/>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供应商不接受磋商小组按磋商文件的规定对其磋商报价的修正；</w:t>
      </w:r>
    </w:p>
    <w:p w14:paraId="25D950BE">
      <w:pPr>
        <w:numPr>
          <w:ilvl w:val="1"/>
          <w:numId w:val="17"/>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供应商在规定期限内无正当理由未能根据供应商须知的规定签订合同；</w:t>
      </w:r>
    </w:p>
    <w:p w14:paraId="7E753EC5">
      <w:pPr>
        <w:numPr>
          <w:ilvl w:val="1"/>
          <w:numId w:val="17"/>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供应商有不真实投标或有违法违规行为的；</w:t>
      </w:r>
    </w:p>
    <w:p w14:paraId="58FA6CB1">
      <w:pPr>
        <w:numPr>
          <w:ilvl w:val="1"/>
          <w:numId w:val="17"/>
        </w:numPr>
        <w:tabs>
          <w:tab w:val="left" w:pos="540"/>
        </w:tabs>
        <w:spacing w:line="360" w:lineRule="auto"/>
        <w:ind w:left="510" w:hanging="510"/>
        <w:rPr>
          <w:rFonts w:ascii="宋体" w:hAnsi="宋体"/>
          <w:color w:val="auto"/>
          <w:highlight w:val="none"/>
          <w:lang w:val="en-GB"/>
        </w:rPr>
      </w:pPr>
      <w:r>
        <w:rPr>
          <w:rFonts w:hint="eastAsia" w:ascii="宋体" w:hAnsi="宋体"/>
          <w:color w:val="auto"/>
          <w:highlight w:val="none"/>
          <w:lang w:val="en-GB"/>
        </w:rPr>
        <w:t>政府采购相关法律法规规定的其他情况。</w:t>
      </w:r>
    </w:p>
    <w:p w14:paraId="795F20E3">
      <w:pPr>
        <w:numPr>
          <w:ilvl w:val="0"/>
          <w:numId w:val="13"/>
        </w:numPr>
        <w:tabs>
          <w:tab w:val="left" w:pos="540"/>
        </w:tabs>
        <w:snapToGrid w:val="0"/>
        <w:spacing w:line="360" w:lineRule="auto"/>
        <w:ind w:left="510" w:hanging="510"/>
      </w:pPr>
      <w:r>
        <w:rPr>
          <w:rFonts w:hint="eastAsia" w:ascii="宋体" w:hAnsi="宋体"/>
          <w:color w:val="auto"/>
          <w:highlight w:val="none"/>
          <w:lang w:val="en-GB"/>
        </w:rPr>
        <w:t>凡没有按照本须知规定随附有效的磋商保证金的投标/响应，应按本须知有关规定视为非响应性投标予以作为无效投标/响应处理。</w:t>
      </w:r>
    </w:p>
    <w:p w14:paraId="1507D9F1">
      <w:pPr>
        <w:numPr>
          <w:ilvl w:val="0"/>
          <w:numId w:val="0"/>
        </w:numPr>
        <w:tabs>
          <w:tab w:val="left" w:pos="540"/>
        </w:tabs>
        <w:snapToGrid w:val="0"/>
        <w:spacing w:line="360" w:lineRule="auto"/>
        <w:ind w:leftChars="0"/>
        <w:rPr>
          <w:rFonts w:hint="eastAsia" w:ascii="宋体" w:hAnsi="宋体"/>
          <w:b/>
          <w:color w:val="auto"/>
          <w:highlight w:val="none"/>
          <w:lang w:val="en-GB"/>
        </w:rPr>
      </w:pPr>
      <w:r>
        <w:rPr>
          <w:rFonts w:hint="eastAsia" w:ascii="宋体" w:hAnsi="宋体"/>
          <w:b/>
          <w:color w:val="auto"/>
          <w:highlight w:val="none"/>
          <w:lang w:val="en-US" w:eastAsia="zh-CN"/>
        </w:rPr>
        <w:t>3.8.</w:t>
      </w:r>
      <w:r>
        <w:rPr>
          <w:rFonts w:hint="eastAsia" w:ascii="宋体" w:hAnsi="宋体"/>
          <w:b/>
          <w:color w:val="auto"/>
          <w:highlight w:val="none"/>
          <w:lang w:val="en-GB"/>
        </w:rPr>
        <w:t>投标有效期</w:t>
      </w:r>
    </w:p>
    <w:p w14:paraId="0B4ADD30">
      <w:pPr>
        <w:numPr>
          <w:ilvl w:val="0"/>
          <w:numId w:val="1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投标有效期：详见《供应商须知前附表》。</w:t>
      </w:r>
    </w:p>
    <w:p w14:paraId="7B127C3F">
      <w:pPr>
        <w:numPr>
          <w:ilvl w:val="0"/>
          <w:numId w:val="18"/>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供应商的响应文件应在投标有效期内保持有效。投标有效期不足的将被视为实质性不响应磋商文件要求。</w:t>
      </w:r>
    </w:p>
    <w:p w14:paraId="674CE4AA">
      <w:pPr>
        <w:numPr>
          <w:ilvl w:val="0"/>
          <w:numId w:val="1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投标有效期内，响应文件的一切内容和补充承诺均为持续有效且不予改变。</w:t>
      </w:r>
    </w:p>
    <w:p w14:paraId="37B666DE">
      <w:pPr>
        <w:numPr>
          <w:ilvl w:val="0"/>
          <w:numId w:val="18"/>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特殊情况下，在原投标有效期截止之前，采购人可要求供应商同意延长其投标有效期。这种要求和答复均应以书面形式提供。供应商可拒绝或同意采购人的这种要求。接受延长投标有效期的供应商将不会被要求和允许修正其投标，而只会被要求相应的延长其磋商保证金的有效期，在这种情况下，本须知有关磋商保证金的退还和没收的规定将在延长了的有效期内继续有效。</w:t>
      </w:r>
    </w:p>
    <w:p w14:paraId="43A0DCE1">
      <w:pPr>
        <w:numPr>
          <w:ilvl w:val="0"/>
          <w:numId w:val="1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投标有效期比规定时间短的将被视为非响应性投标而予以拒绝。</w:t>
      </w:r>
    </w:p>
    <w:p w14:paraId="609B05E2">
      <w:pPr>
        <w:numPr>
          <w:ilvl w:val="0"/>
          <w:numId w:val="0"/>
        </w:numPr>
        <w:tabs>
          <w:tab w:val="left" w:pos="540"/>
        </w:tabs>
        <w:snapToGrid w:val="0"/>
        <w:spacing w:line="360" w:lineRule="auto"/>
        <w:ind w:leftChars="0"/>
        <w:rPr>
          <w:rFonts w:hint="eastAsia" w:ascii="宋体" w:hAnsi="宋体"/>
          <w:b/>
          <w:color w:val="auto"/>
          <w:highlight w:val="none"/>
          <w:lang w:val="en-GB"/>
        </w:rPr>
      </w:pPr>
      <w:r>
        <w:rPr>
          <w:rFonts w:hint="eastAsia" w:ascii="宋体" w:hAnsi="宋体"/>
          <w:b/>
          <w:color w:val="auto"/>
          <w:highlight w:val="none"/>
          <w:lang w:val="en-US" w:eastAsia="zh-CN"/>
        </w:rPr>
        <w:t>3.9.</w:t>
      </w:r>
      <w:r>
        <w:rPr>
          <w:rFonts w:hint="eastAsia" w:ascii="宋体" w:hAnsi="宋体"/>
          <w:b/>
          <w:color w:val="auto"/>
          <w:highlight w:val="none"/>
          <w:lang w:val="en-GB"/>
        </w:rPr>
        <w:t>响应文件的数量和签署</w:t>
      </w:r>
    </w:p>
    <w:p w14:paraId="04C6DA0A">
      <w:pPr>
        <w:numPr>
          <w:ilvl w:val="0"/>
          <w:numId w:val="19"/>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供应商应编制响应文件资料，响应文件数量详见《供应商须知前附表》。</w:t>
      </w:r>
    </w:p>
    <w:p w14:paraId="0E298391">
      <w:pPr>
        <w:numPr>
          <w:ilvl w:val="0"/>
          <w:numId w:val="19"/>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的正本需打印或用不褪色墨水书写，磋商文件提供的响应文件格式中规定要求签字、盖章的地方均须由供应商的相应人员签名或签章、加盖供应商公章（不得使用其他代章）。授权代表须出具书面授权证明，其《供应商授权书》应附在响应文件中。</w:t>
      </w:r>
    </w:p>
    <w:p w14:paraId="761BEF05">
      <w:pPr>
        <w:numPr>
          <w:ilvl w:val="0"/>
          <w:numId w:val="19"/>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若副本存在缺漏页、无签字或盖章页，不作为无效投标/响应条件。</w:t>
      </w:r>
    </w:p>
    <w:p w14:paraId="4404F179">
      <w:pPr>
        <w:numPr>
          <w:ilvl w:val="0"/>
          <w:numId w:val="19"/>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响应文件中的任何重要的插字、涂改和增删，必须由法定代表人或经其正式授权的代表在旁边签章或签字才有效。</w:t>
      </w:r>
    </w:p>
    <w:p w14:paraId="7ECF8AAA">
      <w:pPr>
        <w:tabs>
          <w:tab w:val="left" w:pos="540"/>
        </w:tabs>
        <w:snapToGrid w:val="0"/>
        <w:spacing w:line="360" w:lineRule="auto"/>
        <w:rPr>
          <w:rFonts w:hint="eastAsia" w:ascii="宋体" w:hAnsi="宋体"/>
          <w:b/>
          <w:color w:val="auto"/>
          <w:highlight w:val="none"/>
          <w:lang w:val="en-GB"/>
        </w:rPr>
      </w:pPr>
    </w:p>
    <w:p w14:paraId="7426F70C">
      <w:pPr>
        <w:keepNext/>
        <w:keepLines/>
        <w:widowControl w:val="0"/>
        <w:jc w:val="center"/>
        <w:outlineLvl w:val="1"/>
        <w:rPr>
          <w:rFonts w:hint="eastAsia" w:ascii="Cambria" w:hAnsi="Cambria" w:eastAsia="宋体" w:cs="Times New Roman"/>
          <w:b/>
          <w:bCs/>
          <w:color w:val="auto"/>
          <w:kern w:val="2"/>
          <w:sz w:val="32"/>
          <w:szCs w:val="32"/>
          <w:highlight w:val="none"/>
          <w:lang w:val="en-US" w:eastAsia="zh-CN" w:bidi="ar-SA"/>
        </w:rPr>
      </w:pPr>
      <w:bookmarkStart w:id="49" w:name="_Toc15901"/>
      <w:r>
        <w:rPr>
          <w:rFonts w:hint="eastAsia" w:ascii="Cambria" w:hAnsi="Cambria" w:eastAsia="宋体" w:cs="Times New Roman"/>
          <w:b/>
          <w:bCs/>
          <w:color w:val="auto"/>
          <w:kern w:val="2"/>
          <w:sz w:val="32"/>
          <w:szCs w:val="32"/>
          <w:highlight w:val="none"/>
          <w:lang w:val="en-US" w:eastAsia="zh-CN" w:bidi="ar-SA"/>
        </w:rPr>
        <w:t>四、响应文件的递交</w:t>
      </w:r>
      <w:bookmarkEnd w:id="49"/>
    </w:p>
    <w:p w14:paraId="05BB9514">
      <w:pPr>
        <w:numPr>
          <w:ilvl w:val="0"/>
          <w:numId w:val="20"/>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响应文件的密封、标记和递交</w:t>
      </w:r>
    </w:p>
    <w:p w14:paraId="1A7345D4">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须按磋商文件《磋商邀请函》及竞争性磋商公告规定的时间、地点递交响应文件，逾期送达或者未送达指定地点的响应文件，为无效响应文件，采购代理机构将拒收。若时间地点已按法定程序变更，则以变更后的时间地点为准。</w:t>
      </w:r>
    </w:p>
    <w:p w14:paraId="57D9AA32">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供应商须以密封包装形式当面现场递交，拒绝接受邮寄、电报或电话传真形式递交的响应文件。</w:t>
      </w:r>
    </w:p>
    <w:p w14:paraId="71857C1B">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将响应文件密封包装，响应文件密封包包含内容、报价信封密封包包含内容详见《供应商须知前附表》。文件密封完毕并在外包装上清晰标明“正本”、“副本”字样。信封或外包装上应当注明采购项目名称、采购项目编号和“在（提交响应文件截止时间）之前不得启封”的字样，封口处应加盖供应商公章。格式详见“第五部分 响应文件格式 文件包装袋封面标贴格式”。</w:t>
      </w:r>
    </w:p>
    <w:p w14:paraId="6DD93620">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如果未按要求密封和标记，对因错放或密封不牢靠而造成的提前开封的响应文件将予以拒绝，并退还给供应商，招标采购单位不承担由此造成的响应文件提前开封的责任。</w:t>
      </w:r>
    </w:p>
    <w:p w14:paraId="77B266B2">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供应商在递交响应文件时，须同时递交电子文档。电子文档要求：详见《供应商须知前附表》。</w:t>
      </w:r>
    </w:p>
    <w:p w14:paraId="720628B5">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供应商所提交的响应文件在评标结束后，无论中标/成交与否均不予退还。</w:t>
      </w:r>
    </w:p>
    <w:p w14:paraId="4481ADB3">
      <w:pPr>
        <w:numPr>
          <w:ilvl w:val="0"/>
          <w:numId w:val="21"/>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供应商自行承担因参加本次投标/响应而发生的一切费用，招标采购单位对供应商及其他当事人不承担任何形式的赔偿或补偿。</w:t>
      </w:r>
    </w:p>
    <w:p w14:paraId="7EE6C8A2">
      <w:pPr>
        <w:numPr>
          <w:ilvl w:val="0"/>
          <w:numId w:val="20"/>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响应文件的修改和撤回</w:t>
      </w:r>
    </w:p>
    <w:p w14:paraId="7B43BA9B">
      <w:pPr>
        <w:numPr>
          <w:ilvl w:val="0"/>
          <w:numId w:val="22"/>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提交响应文件截止时间前，可以对所递交的响应文件进行补充、修改或者撤回，并书面通知招标采购单位。补充、修改的内容应当按磋商文件要求签署、盖章，并作为响应文件的组成部分。补充、修改的内容与响应文件不一致的，以补充、修改的内容为准。在提交响应文件截止时间之后，供应商不得对其响应文件做任何修改和补充。</w:t>
      </w:r>
    </w:p>
    <w:p w14:paraId="1BCBB4F4">
      <w:pPr>
        <w:numPr>
          <w:ilvl w:val="0"/>
          <w:numId w:val="22"/>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供应商在递交响应文件后，可以撤回其投标/响应，但供应商必须在规定的提交响应文件截止时间前以书面形式告知采购代理机构。</w:t>
      </w:r>
    </w:p>
    <w:bookmarkEnd w:id="36"/>
    <w:bookmarkEnd w:id="37"/>
    <w:bookmarkEnd w:id="38"/>
    <w:bookmarkEnd w:id="39"/>
    <w:bookmarkEnd w:id="40"/>
    <w:bookmarkEnd w:id="41"/>
    <w:bookmarkEnd w:id="42"/>
    <w:bookmarkEnd w:id="43"/>
    <w:bookmarkEnd w:id="44"/>
    <w:bookmarkEnd w:id="45"/>
    <w:bookmarkEnd w:id="46"/>
    <w:bookmarkEnd w:id="47"/>
    <w:bookmarkEnd w:id="48"/>
    <w:p w14:paraId="3645F3F5">
      <w:pPr>
        <w:numPr>
          <w:ilvl w:val="0"/>
          <w:numId w:val="20"/>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其他</w:t>
      </w:r>
    </w:p>
    <w:p w14:paraId="45FBC3D6">
      <w:pPr>
        <w:tabs>
          <w:tab w:val="left" w:pos="540"/>
        </w:tabs>
        <w:snapToGrid w:val="0"/>
        <w:spacing w:line="360" w:lineRule="auto"/>
        <w:ind w:left="510"/>
        <w:rPr>
          <w:rFonts w:hint="eastAsia" w:ascii="宋体" w:hAnsi="宋体"/>
          <w:color w:val="auto"/>
          <w:highlight w:val="none"/>
          <w:lang w:val="en-GB"/>
        </w:rPr>
      </w:pPr>
      <w:r>
        <w:rPr>
          <w:rFonts w:hint="eastAsia" w:ascii="宋体" w:hAnsi="宋体"/>
          <w:color w:val="auto"/>
          <w:highlight w:val="none"/>
          <w:lang w:val="en-GB"/>
        </w:rPr>
        <w:t>供应商的授权代表须携带本人身份证，准时亲自递交合规格的密封响应文件，对在指定时间外交付的任何文件，采购代理机构将拒绝接受。对于已接收受理的响应文件，采购代理机构一概不予退回。授权代表应听从招标采购单位的安排轮侯出席磋商，其现场所签署确认的文件均代表供应商的真实意愿和决定，并作为响应文件的补充内容具有不可撤消更改的法律效力。</w:t>
      </w:r>
    </w:p>
    <w:p w14:paraId="14056CD0">
      <w:pPr>
        <w:rPr>
          <w:rFonts w:hint="eastAsia" w:ascii="宋体" w:hAnsi="宋体"/>
          <w:color w:val="auto"/>
          <w:highlight w:val="none"/>
          <w:lang w:val="en-GB"/>
        </w:rPr>
      </w:pPr>
    </w:p>
    <w:p w14:paraId="6C110C82">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bookmarkStart w:id="50" w:name="_Toc7692"/>
      <w:r>
        <w:rPr>
          <w:rFonts w:hint="eastAsia" w:ascii="Cambria" w:hAnsi="Cambria" w:eastAsia="宋体" w:cs="Times New Roman"/>
          <w:b/>
          <w:bCs/>
          <w:color w:val="auto"/>
          <w:kern w:val="2"/>
          <w:sz w:val="32"/>
          <w:szCs w:val="32"/>
          <w:highlight w:val="none"/>
          <w:lang w:val="en-US" w:eastAsia="zh-CN" w:bidi="ar-SA"/>
        </w:rPr>
        <w:t>五、开标及评审程序</w:t>
      </w:r>
      <w:bookmarkEnd w:id="50"/>
    </w:p>
    <w:p w14:paraId="1A16267A">
      <w:pPr>
        <w:numPr>
          <w:ilvl w:val="0"/>
          <w:numId w:val="23"/>
        </w:numPr>
        <w:tabs>
          <w:tab w:val="left" w:pos="540"/>
        </w:tabs>
        <w:snapToGrid w:val="0"/>
        <w:spacing w:line="360" w:lineRule="auto"/>
        <w:ind w:left="510" w:hanging="510"/>
        <w:rPr>
          <w:rFonts w:hint="eastAsia" w:ascii="宋体" w:hAnsi="宋体"/>
          <w:b/>
          <w:color w:val="auto"/>
          <w:highlight w:val="none"/>
          <w:lang w:val="en-GB"/>
        </w:rPr>
      </w:pPr>
      <w:bookmarkStart w:id="51" w:name="_Toc332090776"/>
      <w:bookmarkStart w:id="52" w:name="_Toc119321134"/>
      <w:bookmarkStart w:id="53" w:name="_Toc275954894"/>
      <w:bookmarkStart w:id="54" w:name="_Toc136662923"/>
      <w:bookmarkStart w:id="55" w:name="_Toc276220266"/>
      <w:bookmarkStart w:id="56" w:name="_Toc136682899"/>
      <w:bookmarkStart w:id="57" w:name="_Toc528736189"/>
      <w:r>
        <w:rPr>
          <w:rFonts w:hint="eastAsia" w:ascii="宋体" w:hAnsi="宋体"/>
          <w:b/>
          <w:color w:val="auto"/>
          <w:highlight w:val="none"/>
          <w:lang w:val="en-GB"/>
        </w:rPr>
        <w:t>开标会</w:t>
      </w:r>
      <w:bookmarkEnd w:id="51"/>
      <w:bookmarkEnd w:id="52"/>
      <w:bookmarkEnd w:id="53"/>
      <w:bookmarkEnd w:id="54"/>
      <w:bookmarkEnd w:id="55"/>
      <w:bookmarkEnd w:id="56"/>
      <w:bookmarkEnd w:id="57"/>
    </w:p>
    <w:p w14:paraId="25B59904">
      <w:pPr>
        <w:numPr>
          <w:ilvl w:val="0"/>
          <w:numId w:val="24"/>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采购代理机构按磋商文件约定的时间和地点组织开标，供应商须派员出席开标会全过程，否则视为接受开标结果。</w:t>
      </w:r>
    </w:p>
    <w:p w14:paraId="4C6A3889">
      <w:pPr>
        <w:numPr>
          <w:ilvl w:val="0"/>
          <w:numId w:val="24"/>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宣布递交响应文件时间截止后，采购代理机构将不再接收任何响应文件。</w:t>
      </w:r>
    </w:p>
    <w:p w14:paraId="0358D1F1">
      <w:pPr>
        <w:numPr>
          <w:ilvl w:val="0"/>
          <w:numId w:val="24"/>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评审前，由递交响应文件顺序的前</w:t>
      </w:r>
      <w:r>
        <w:rPr>
          <w:rFonts w:ascii="宋体" w:hAnsi="宋体" w:cs="宋体"/>
          <w:color w:val="auto"/>
          <w:highlight w:val="none"/>
        </w:rPr>
        <w:t>二</w:t>
      </w:r>
      <w:r>
        <w:rPr>
          <w:rFonts w:hint="eastAsia" w:ascii="宋体" w:hAnsi="宋体"/>
          <w:color w:val="auto"/>
          <w:highlight w:val="none"/>
          <w:lang w:val="en-GB"/>
        </w:rPr>
        <w:t>名供应商代表全体供应商对全部响应文件的密封情况进行当众检查，经检查未按要求密封的响应文件不予启封并现场退还。评审前的开标会，不唱读各供应商的首次报价。</w:t>
      </w:r>
    </w:p>
    <w:p w14:paraId="5D6AAD36">
      <w:pPr>
        <w:numPr>
          <w:ilvl w:val="0"/>
          <w:numId w:val="24"/>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当</w:t>
      </w:r>
      <w:r>
        <w:rPr>
          <w:rFonts w:hint="eastAsia" w:ascii="宋体" w:hAnsi="宋体"/>
          <w:color w:val="auto"/>
          <w:highlight w:val="none"/>
        </w:rPr>
        <w:t>提交响应文件截止时间</w:t>
      </w:r>
      <w:r>
        <w:rPr>
          <w:rFonts w:hint="eastAsia" w:ascii="宋体" w:hAnsi="宋体"/>
          <w:color w:val="auto"/>
          <w:highlight w:val="none"/>
          <w:lang w:val="en-GB"/>
        </w:rPr>
        <w:t>到达时，如供应商少于三家的，响应文件将不予启封并现场退还。（符合本部分“</w:t>
      </w:r>
      <w:r>
        <w:rPr>
          <w:rFonts w:hint="eastAsia" w:ascii="宋体" w:hAnsi="宋体"/>
          <w:color w:val="auto"/>
          <w:highlight w:val="none"/>
        </w:rPr>
        <w:t>特殊情形”的除外</w:t>
      </w:r>
      <w:r>
        <w:rPr>
          <w:rFonts w:hint="eastAsia" w:ascii="宋体" w:hAnsi="宋体"/>
          <w:color w:val="auto"/>
          <w:highlight w:val="none"/>
          <w:lang w:val="en-GB"/>
        </w:rPr>
        <w:t>）</w:t>
      </w:r>
    </w:p>
    <w:p w14:paraId="01AD24EB">
      <w:pPr>
        <w:numPr>
          <w:ilvl w:val="0"/>
          <w:numId w:val="23"/>
        </w:numPr>
        <w:tabs>
          <w:tab w:val="left" w:pos="540"/>
        </w:tabs>
        <w:snapToGrid w:val="0"/>
        <w:spacing w:line="360" w:lineRule="auto"/>
        <w:ind w:left="510" w:hanging="510"/>
        <w:rPr>
          <w:rFonts w:hint="eastAsia" w:ascii="宋体" w:hAnsi="宋体"/>
          <w:b/>
          <w:color w:val="auto"/>
          <w:highlight w:val="none"/>
          <w:lang w:val="en-GB"/>
        </w:rPr>
      </w:pPr>
      <w:bookmarkStart w:id="58" w:name="_Toc136662924"/>
      <w:bookmarkStart w:id="59" w:name="_Toc119321135"/>
      <w:bookmarkStart w:id="60" w:name="_Toc528736190"/>
      <w:bookmarkStart w:id="61" w:name="_Toc332090777"/>
      <w:bookmarkStart w:id="62" w:name="_Toc136682900"/>
      <w:bookmarkStart w:id="63" w:name="_Toc275954895"/>
      <w:bookmarkStart w:id="64" w:name="_Toc276220267"/>
      <w:r>
        <w:rPr>
          <w:rFonts w:hint="eastAsia" w:ascii="宋体" w:hAnsi="宋体"/>
          <w:b/>
          <w:color w:val="auto"/>
          <w:highlight w:val="none"/>
          <w:lang w:val="en-GB"/>
        </w:rPr>
        <w:t>磋商小组的组成及工作要求</w:t>
      </w:r>
      <w:bookmarkEnd w:id="58"/>
      <w:bookmarkEnd w:id="59"/>
      <w:bookmarkEnd w:id="60"/>
      <w:bookmarkEnd w:id="61"/>
      <w:bookmarkEnd w:id="62"/>
      <w:bookmarkEnd w:id="63"/>
      <w:bookmarkEnd w:id="64"/>
    </w:p>
    <w:p w14:paraId="119BAC6A">
      <w:pPr>
        <w:numPr>
          <w:ilvl w:val="0"/>
          <w:numId w:val="2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采购代理机构依法组建磋商小组，磋商小组的组成见《供应商须知前附表》，其中专家成员在专家库中随机抽取产生。</w:t>
      </w:r>
    </w:p>
    <w:p w14:paraId="208B4148">
      <w:pPr>
        <w:numPr>
          <w:ilvl w:val="0"/>
          <w:numId w:val="25"/>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磋商小组将本着公平、公正、科学、择优的原则，按照磋商文件确定的评审程序和评审方法进行评审。不得对磋商文件中一些涉及竞争的公平、公正性重要内容（包括带“★”项）进行现场临时修改调整，也不得单独与供应商进行联系接触。</w:t>
      </w:r>
    </w:p>
    <w:p w14:paraId="3C672A7C">
      <w:pPr>
        <w:numPr>
          <w:ilvl w:val="0"/>
          <w:numId w:val="2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如对磋商文件、响应文件及相关补充文件的理解存有歧义时，磋商小组可对这些文件或向有关方面进行查证了解质询，并通过集体讨论或表决达成一致处理意见。任何形式的决定，须以合法公正和有利于项目的安全顺利实施为前提。</w:t>
      </w:r>
    </w:p>
    <w:p w14:paraId="23570F76">
      <w:pPr>
        <w:numPr>
          <w:ilvl w:val="0"/>
          <w:numId w:val="2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评审过程中涉及和产生的所有程序文件、打分表格及评审综合意见（授标建议），均须由磋商小组成员签名确认。</w:t>
      </w:r>
    </w:p>
    <w:p w14:paraId="0FE9CE57">
      <w:pPr>
        <w:numPr>
          <w:ilvl w:val="0"/>
          <w:numId w:val="2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评审结果未公布前，供应商均不得主动与磋商小组、采购人、主办机构联系以探取评审信息。</w:t>
      </w:r>
    </w:p>
    <w:p w14:paraId="639D68E7">
      <w:pPr>
        <w:numPr>
          <w:ilvl w:val="0"/>
          <w:numId w:val="23"/>
        </w:numPr>
        <w:tabs>
          <w:tab w:val="left" w:pos="540"/>
        </w:tabs>
        <w:snapToGrid w:val="0"/>
        <w:spacing w:line="360" w:lineRule="auto"/>
        <w:ind w:left="510" w:hanging="510"/>
        <w:rPr>
          <w:rFonts w:hint="eastAsia" w:ascii="宋体" w:hAnsi="宋体"/>
          <w:b/>
          <w:color w:val="auto"/>
          <w:highlight w:val="none"/>
          <w:lang w:val="en-GB"/>
        </w:rPr>
      </w:pPr>
      <w:bookmarkStart w:id="65" w:name="_Toc528736191"/>
      <w:bookmarkStart w:id="66" w:name="_Toc275954896"/>
      <w:bookmarkStart w:id="67" w:name="_Toc119321136"/>
      <w:bookmarkStart w:id="68" w:name="_Toc332090778"/>
      <w:bookmarkStart w:id="69" w:name="_Toc276220268"/>
      <w:bookmarkStart w:id="70" w:name="_Toc136662925"/>
      <w:bookmarkStart w:id="71" w:name="_Toc136682901"/>
      <w:r>
        <w:rPr>
          <w:rFonts w:hint="eastAsia" w:ascii="宋体" w:hAnsi="宋体"/>
          <w:b/>
          <w:color w:val="auto"/>
          <w:highlight w:val="none"/>
          <w:lang w:val="en-GB"/>
        </w:rPr>
        <w:t>评审流程与相关事项</w:t>
      </w:r>
      <w:bookmarkEnd w:id="65"/>
      <w:bookmarkEnd w:id="66"/>
      <w:bookmarkEnd w:id="67"/>
      <w:bookmarkEnd w:id="68"/>
      <w:bookmarkEnd w:id="69"/>
      <w:bookmarkEnd w:id="70"/>
      <w:bookmarkEnd w:id="71"/>
    </w:p>
    <w:p w14:paraId="6EC3E62F">
      <w:pPr>
        <w:numPr>
          <w:ilvl w:val="0"/>
          <w:numId w:val="26"/>
        </w:numPr>
        <w:tabs>
          <w:tab w:val="left" w:pos="540"/>
        </w:tabs>
        <w:snapToGrid w:val="0"/>
        <w:spacing w:line="360" w:lineRule="auto"/>
        <w:ind w:left="510" w:hanging="510"/>
        <w:rPr>
          <w:rFonts w:hint="eastAsia" w:ascii="宋体" w:hAnsi="宋体"/>
          <w:color w:val="auto"/>
          <w:highlight w:val="none"/>
          <w:lang w:val="en-GB"/>
        </w:rPr>
      </w:pPr>
      <w:bookmarkStart w:id="72" w:name="_Toc332090779"/>
      <w:r>
        <w:rPr>
          <w:rFonts w:hint="eastAsia" w:ascii="宋体" w:hAnsi="宋体"/>
          <w:b/>
          <w:color w:val="auto"/>
          <w:highlight w:val="none"/>
          <w:lang w:val="en-GB"/>
        </w:rPr>
        <w:t>确认《评审细则》。</w:t>
      </w:r>
      <w:r>
        <w:rPr>
          <w:rFonts w:hint="eastAsia" w:ascii="宋体" w:hAnsi="宋体"/>
          <w:color w:val="auto"/>
          <w:highlight w:val="none"/>
          <w:lang w:val="en-GB"/>
        </w:rPr>
        <w:t>签署通过《评审细则》。《评审细则》的内容包括评审纪律、评审方法、评审程序与评审细则等。</w:t>
      </w:r>
    </w:p>
    <w:p w14:paraId="4E28E8E0">
      <w:pPr>
        <w:numPr>
          <w:ilvl w:val="0"/>
          <w:numId w:val="26"/>
        </w:numPr>
        <w:tabs>
          <w:tab w:val="left" w:pos="540"/>
        </w:tabs>
        <w:snapToGrid w:val="0"/>
        <w:spacing w:line="360" w:lineRule="auto"/>
        <w:ind w:left="510" w:hanging="510"/>
        <w:rPr>
          <w:rFonts w:hint="eastAsia" w:ascii="宋体" w:hAnsi="宋体"/>
          <w:bCs/>
          <w:color w:val="auto"/>
          <w:highlight w:val="none"/>
          <w:lang w:val="en-GB"/>
        </w:rPr>
      </w:pPr>
      <w:r>
        <w:rPr>
          <w:rFonts w:hint="eastAsia" w:ascii="宋体" w:hAnsi="宋体"/>
          <w:b/>
          <w:color w:val="auto"/>
          <w:highlight w:val="none"/>
          <w:lang w:val="en-GB"/>
        </w:rPr>
        <w:t>文件初审。</w:t>
      </w:r>
      <w:r>
        <w:rPr>
          <w:rFonts w:hint="eastAsia" w:ascii="宋体" w:hAnsi="宋体"/>
          <w:color w:val="auto"/>
          <w:highlight w:val="none"/>
          <w:lang w:val="en-GB"/>
        </w:rPr>
        <w:t>初审分为资格性审查和符合性审查。</w:t>
      </w:r>
    </w:p>
    <w:p w14:paraId="57421551">
      <w:pPr>
        <w:numPr>
          <w:ilvl w:val="1"/>
          <w:numId w:val="27"/>
        </w:numPr>
        <w:tabs>
          <w:tab w:val="left" w:pos="540"/>
        </w:tabs>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资格审查。</w:t>
      </w:r>
      <w:r>
        <w:rPr>
          <w:rFonts w:ascii="宋体" w:hAnsi="宋体" w:cs="宋体"/>
          <w:color w:val="auto"/>
          <w:highlight w:val="none"/>
          <w:lang w:val="zh-CN" w:eastAsia="zh-CN"/>
        </w:rPr>
        <w:t>项目开标结束后，</w:t>
      </w:r>
      <w:r>
        <w:rPr>
          <w:rFonts w:ascii="宋体" w:hAnsi="宋体" w:cs="宋体"/>
          <w:color w:val="auto"/>
          <w:highlight w:val="none"/>
        </w:rPr>
        <w:t>磋商小组</w:t>
      </w:r>
      <w:r>
        <w:rPr>
          <w:rFonts w:ascii="宋体" w:hAnsi="宋体" w:cs="宋体"/>
          <w:color w:val="auto"/>
          <w:highlight w:val="none"/>
          <w:lang w:val="zh-CN" w:eastAsia="zh-CN"/>
        </w:rPr>
        <w:t>依法对供应商的资格进行审查。依据法律法规和竞争性磋商文件的规定，对照响应文件中资格证明等进行审查，以确定供应商是否符合投标资格，通过资格审查不足 3 家的，不再进行评标，宣布废标。</w:t>
      </w:r>
      <w:r>
        <w:rPr>
          <w:rFonts w:hint="eastAsia" w:ascii="宋体" w:hAnsi="宋体"/>
          <w:color w:val="auto"/>
          <w:highlight w:val="none"/>
          <w:lang w:val="en-GB"/>
        </w:rPr>
        <w:t xml:space="preserve"> </w:t>
      </w:r>
    </w:p>
    <w:p w14:paraId="05FB68D2">
      <w:pPr>
        <w:numPr>
          <w:ilvl w:val="1"/>
          <w:numId w:val="27"/>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根据《财政部关于在政府采购活动中查询及使用信用记录有关问题的通知》（财库〔2016〕125 号）的要求，资格审查时将进行信用记录查询：</w:t>
      </w:r>
    </w:p>
    <w:p w14:paraId="1ED89369">
      <w:pPr>
        <w:tabs>
          <w:tab w:val="left" w:pos="540"/>
        </w:tabs>
        <w:snapToGrid w:val="0"/>
        <w:spacing w:line="360" w:lineRule="auto"/>
        <w:rPr>
          <w:rFonts w:hint="eastAsia" w:ascii="宋体" w:hAnsi="宋体"/>
          <w:color w:val="auto"/>
          <w:highlight w:val="none"/>
          <w:lang w:val="en-GB"/>
        </w:rPr>
      </w:pPr>
      <w:r>
        <w:rPr>
          <w:rFonts w:hint="eastAsia" w:ascii="宋体" w:hAnsi="宋体"/>
          <w:color w:val="auto"/>
          <w:highlight w:val="none"/>
          <w:lang w:val="en-GB"/>
        </w:rPr>
        <w:t>（</w:t>
      </w:r>
      <w:r>
        <w:rPr>
          <w:rFonts w:hint="eastAsia" w:ascii="宋体" w:hAnsi="宋体"/>
          <w:color w:val="auto"/>
          <w:highlight w:val="none"/>
        </w:rPr>
        <w:t>1</w:t>
      </w:r>
      <w:r>
        <w:rPr>
          <w:rFonts w:hint="eastAsia" w:ascii="宋体" w:hAnsi="宋体"/>
          <w:color w:val="auto"/>
          <w:highlight w:val="none"/>
          <w:lang w:val="en-GB"/>
        </w:rPr>
        <w:t>）信用记录查询：</w:t>
      </w:r>
    </w:p>
    <w:p w14:paraId="579D96C8">
      <w:pPr>
        <w:tabs>
          <w:tab w:val="left" w:pos="540"/>
        </w:tabs>
        <w:spacing w:line="360" w:lineRule="auto"/>
        <w:ind w:firstLine="480" w:firstLineChars="200"/>
        <w:rPr>
          <w:rFonts w:hint="eastAsia" w:ascii="宋体" w:hAnsi="宋体"/>
          <w:color w:val="auto"/>
          <w:highlight w:val="none"/>
          <w:lang w:val="en-GB"/>
        </w:rPr>
      </w:pPr>
      <w:r>
        <w:rPr>
          <w:rFonts w:hint="eastAsia" w:ascii="宋体" w:hAnsi="宋体"/>
          <w:color w:val="auto"/>
          <w:highlight w:val="none"/>
          <w:lang w:val="en-GB"/>
        </w:rPr>
        <w:t>① 查询渠道：通过“信用中国”网站（www.creditchina.gov.cn）、中国政府采购网（www.ccgp.gov.cn）查询供应商的信用记录。</w:t>
      </w:r>
    </w:p>
    <w:p w14:paraId="2FBCD6AD">
      <w:pPr>
        <w:tabs>
          <w:tab w:val="left" w:pos="540"/>
        </w:tabs>
        <w:snapToGrid w:val="0"/>
        <w:spacing w:line="360" w:lineRule="auto"/>
        <w:ind w:left="480" w:leftChars="200"/>
        <w:rPr>
          <w:rFonts w:hint="eastAsia" w:ascii="宋体" w:hAnsi="宋体"/>
          <w:color w:val="auto"/>
          <w:highlight w:val="none"/>
          <w:lang w:val="en-GB"/>
        </w:rPr>
      </w:pPr>
      <w:r>
        <w:rPr>
          <w:rFonts w:hint="eastAsia" w:ascii="宋体" w:hAnsi="宋体"/>
          <w:color w:val="auto"/>
          <w:highlight w:val="none"/>
          <w:lang w:val="en-GB"/>
        </w:rPr>
        <w:t>② 截止时点：投标截止日当天，在进行资格审查时查询询，截止时点以查询页面显示的查询时间为准。</w:t>
      </w:r>
    </w:p>
    <w:p w14:paraId="176B308B">
      <w:pPr>
        <w:tabs>
          <w:tab w:val="left" w:pos="540"/>
        </w:tabs>
        <w:spacing w:line="360" w:lineRule="auto"/>
        <w:ind w:left="480" w:leftChars="200"/>
        <w:rPr>
          <w:rFonts w:hint="eastAsia" w:ascii="宋体" w:hAnsi="宋体"/>
          <w:color w:val="auto"/>
          <w:highlight w:val="none"/>
          <w:lang w:val="en-GB"/>
        </w:rPr>
      </w:pPr>
      <w:r>
        <w:rPr>
          <w:rFonts w:hint="eastAsia" w:ascii="宋体" w:hAnsi="宋体"/>
          <w:color w:val="auto"/>
          <w:highlight w:val="none"/>
          <w:lang w:val="en-GB"/>
        </w:rPr>
        <w:t>③ 结果留存：采取保留纸质网络打印件、网页查询截图或其相关复印件的方式做好信用信息查询记录和证据留存，信用信息查询记录及相关证据与其他采购文件一并保存。</w:t>
      </w:r>
    </w:p>
    <w:p w14:paraId="03F35314">
      <w:pPr>
        <w:tabs>
          <w:tab w:val="left" w:pos="540"/>
        </w:tabs>
        <w:spacing w:line="360" w:lineRule="auto"/>
        <w:rPr>
          <w:rFonts w:hint="eastAsia" w:ascii="宋体" w:hAnsi="宋体"/>
          <w:color w:val="auto"/>
          <w:highlight w:val="none"/>
          <w:lang w:val="en-GB"/>
        </w:rPr>
      </w:pPr>
      <w:r>
        <w:rPr>
          <w:rFonts w:hint="eastAsia" w:ascii="宋体" w:hAnsi="宋体"/>
          <w:color w:val="auto"/>
          <w:highlight w:val="none"/>
          <w:lang w:val="en-GB"/>
        </w:rPr>
        <w:t>（</w:t>
      </w:r>
      <w:r>
        <w:rPr>
          <w:rFonts w:hint="eastAsia" w:ascii="宋体" w:hAnsi="宋体"/>
          <w:color w:val="auto"/>
          <w:highlight w:val="none"/>
        </w:rPr>
        <w:t>2</w:t>
      </w:r>
      <w:r>
        <w:rPr>
          <w:rFonts w:hint="eastAsia" w:ascii="宋体" w:hAnsi="宋体"/>
          <w:color w:val="auto"/>
          <w:highlight w:val="none"/>
          <w:lang w:val="en-GB"/>
        </w:rPr>
        <w:t>）信用记录的使用：</w:t>
      </w:r>
    </w:p>
    <w:p w14:paraId="19686D9C">
      <w:pPr>
        <w:tabs>
          <w:tab w:val="left" w:pos="540"/>
        </w:tabs>
        <w:spacing w:line="360" w:lineRule="auto"/>
        <w:ind w:left="480" w:leftChars="200"/>
        <w:rPr>
          <w:rFonts w:hint="eastAsia" w:ascii="宋体" w:hAnsi="宋体"/>
          <w:color w:val="auto"/>
          <w:highlight w:val="none"/>
          <w:lang w:val="en-GB"/>
        </w:rPr>
      </w:pPr>
      <w:r>
        <w:rPr>
          <w:rFonts w:hint="eastAsia" w:ascii="宋体" w:hAnsi="宋体"/>
          <w:color w:val="auto"/>
          <w:highlight w:val="none"/>
          <w:lang w:val="en-GB"/>
        </w:rPr>
        <w:t xml:space="preserve">① </w:t>
      </w:r>
      <w:r>
        <w:rPr>
          <w:rFonts w:hint="eastAsia" w:ascii="宋体" w:hAnsi="宋体" w:cs="宋体"/>
          <w:highlight w:val="none"/>
          <w:lang w:val="en-GB"/>
        </w:rPr>
        <w:t>对供应商信用记录进行甄别，对</w:t>
      </w:r>
      <w:r>
        <w:rPr>
          <w:rFonts w:hint="eastAsia" w:ascii="宋体" w:hAnsi="宋体" w:cs="宋体"/>
          <w:szCs w:val="24"/>
          <w:highlight w:val="none"/>
          <w:lang w:val="hr-HR"/>
        </w:rPr>
        <w:t>被列入“信用中国”网站(www.creditchina.gov.cn)“记录失信被执行人或重大税收违法失信主体（即原“重大税收违法案件当事人名单”）”记录名单；处于中国政府采购网(www.ccgp.gov.cn)“政府采购严重违法失信行为信息记录”中的禁止参加政府采购活动期间</w:t>
      </w:r>
      <w:r>
        <w:rPr>
          <w:rFonts w:hint="eastAsia" w:ascii="宋体" w:hAnsi="宋体" w:cs="宋体"/>
          <w:highlight w:val="none"/>
          <w:lang w:val="en-GB"/>
        </w:rPr>
        <w:t>及其他不符合《中华人民共和国政府采购法》第二十二条规定条件的供应商，拒绝其参与政府采购活动</w:t>
      </w:r>
      <w:r>
        <w:rPr>
          <w:rFonts w:hint="eastAsia" w:ascii="宋体" w:hAnsi="宋体"/>
          <w:color w:val="auto"/>
          <w:highlight w:val="none"/>
          <w:lang w:val="en-GB"/>
        </w:rPr>
        <w:t>。</w:t>
      </w:r>
    </w:p>
    <w:p w14:paraId="7EFF6B24">
      <w:pPr>
        <w:tabs>
          <w:tab w:val="left" w:pos="540"/>
        </w:tabs>
        <w:spacing w:line="360" w:lineRule="auto"/>
        <w:ind w:left="480" w:leftChars="200"/>
        <w:rPr>
          <w:rFonts w:hint="eastAsia" w:ascii="宋体" w:hAnsi="宋体"/>
          <w:color w:val="auto"/>
          <w:highlight w:val="none"/>
          <w:lang w:val="en-GB"/>
        </w:rPr>
      </w:pPr>
      <w:r>
        <w:rPr>
          <w:rFonts w:hint="eastAsia" w:ascii="宋体" w:hAnsi="宋体"/>
          <w:color w:val="auto"/>
          <w:highlight w:val="none"/>
          <w:lang w:val="en-GB"/>
        </w:rPr>
        <w:t>② 两个以上的自然人、法人或者其他组织组成一个联合体，以一个供应商的身份共同参加政府采购活动的，对所有联合体成员进行信用记录查询，联合体成员存在不良信用记录的，视同联合体存在不良信用记录。</w:t>
      </w:r>
    </w:p>
    <w:p w14:paraId="76024970">
      <w:pPr>
        <w:widowControl w:val="0"/>
        <w:spacing w:before="25" w:after="25" w:line="360" w:lineRule="auto"/>
        <w:ind w:left="478" w:leftChars="199" w:firstLine="2" w:firstLineChars="0"/>
        <w:jc w:val="left"/>
        <w:rPr>
          <w:rFonts w:hint="eastAsia" w:ascii="宋体" w:hAnsi="宋体" w:eastAsia="宋体" w:cs="Times New Roman"/>
          <w:bCs w:val="0"/>
          <w:color w:val="auto"/>
          <w:spacing w:val="0"/>
          <w:kern w:val="2"/>
          <w:sz w:val="24"/>
          <w:szCs w:val="22"/>
          <w:highlight w:val="none"/>
          <w:lang w:val="en-GB" w:eastAsia="zh-CN" w:bidi="ar-SA"/>
        </w:rPr>
      </w:pPr>
      <w:r>
        <w:rPr>
          <w:rFonts w:hint="eastAsia" w:ascii="宋体" w:hAnsi="宋体" w:eastAsia="宋体" w:cs="Times New Roman"/>
          <w:bCs w:val="0"/>
          <w:color w:val="auto"/>
          <w:spacing w:val="0"/>
          <w:kern w:val="2"/>
          <w:sz w:val="24"/>
          <w:szCs w:val="22"/>
          <w:highlight w:val="none"/>
          <w:lang w:val="en-US" w:eastAsia="zh-CN" w:bidi="ar-SA"/>
        </w:rPr>
        <w:t>③</w:t>
      </w:r>
      <w:r>
        <w:rPr>
          <w:rFonts w:hint="eastAsia" w:ascii="宋体" w:hAnsi="宋体" w:eastAsia="宋体" w:cs="Times New Roman"/>
          <w:bCs w:val="0"/>
          <w:color w:val="auto"/>
          <w:spacing w:val="0"/>
          <w:kern w:val="2"/>
          <w:sz w:val="24"/>
          <w:szCs w:val="22"/>
          <w:highlight w:val="none"/>
          <w:lang w:val="en-GB" w:eastAsia="zh-CN" w:bidi="ar-SA"/>
        </w:rPr>
        <w:t>响应供应商为分支机构的，该分支机构所属总公司（总所）存在不良信用记录的，视同供应商存在不良信用记录。</w:t>
      </w:r>
    </w:p>
    <w:p w14:paraId="31778BA9">
      <w:pPr>
        <w:numPr>
          <w:ilvl w:val="0"/>
          <w:numId w:val="26"/>
        </w:numPr>
        <w:tabs>
          <w:tab w:val="left" w:pos="540"/>
        </w:tabs>
        <w:snapToGrid w:val="0"/>
        <w:spacing w:line="360" w:lineRule="auto"/>
        <w:ind w:left="510" w:hanging="510"/>
        <w:rPr>
          <w:rFonts w:hint="eastAsia" w:ascii="宋体" w:hAnsi="宋体"/>
          <w:bCs/>
          <w:color w:val="auto"/>
          <w:highlight w:val="none"/>
          <w:lang w:val="en-GB"/>
        </w:rPr>
      </w:pPr>
      <w:r>
        <w:rPr>
          <w:rFonts w:hint="eastAsia" w:ascii="宋体" w:hAnsi="宋体"/>
          <w:b/>
          <w:color w:val="auto"/>
          <w:highlight w:val="none"/>
          <w:lang w:val="en-GB"/>
        </w:rPr>
        <w:t>符合性审查。</w:t>
      </w:r>
      <w:r>
        <w:rPr>
          <w:rFonts w:hint="eastAsia" w:ascii="宋体" w:hAnsi="宋体"/>
          <w:color w:val="auto"/>
          <w:highlight w:val="none"/>
          <w:lang w:val="en-GB"/>
        </w:rPr>
        <w:t>评标委员会依据资格性审查结果，对通过资格性审查的供应商进行符合性审查，对照本项目的技术、商务、预算金额及文件制作要求，审查投标文件是否完全实质性响应招标文件的要求、</w:t>
      </w:r>
      <w:r>
        <w:rPr>
          <w:rFonts w:hint="eastAsia" w:ascii="宋体" w:hAnsi="宋体"/>
          <w:color w:val="auto"/>
          <w:highlight w:val="none"/>
          <w:lang w:val="en-GB" w:eastAsia="zh-CN"/>
        </w:rPr>
        <w:t>磋商保证金</w:t>
      </w:r>
      <w:r>
        <w:rPr>
          <w:rFonts w:hint="eastAsia" w:ascii="宋体" w:hAnsi="宋体"/>
          <w:color w:val="auto"/>
          <w:highlight w:val="none"/>
          <w:lang w:val="en-GB"/>
        </w:rPr>
        <w:t>缴纳情况等，没有出现重大偏离。</w:t>
      </w:r>
    </w:p>
    <w:p w14:paraId="40E3A63E">
      <w:pPr>
        <w:numPr>
          <w:ilvl w:val="0"/>
          <w:numId w:val="2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质询与澄清（如有）。</w:t>
      </w:r>
    </w:p>
    <w:p w14:paraId="1D77B16D">
      <w:pPr>
        <w:numPr>
          <w:ilvl w:val="1"/>
          <w:numId w:val="28"/>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58628C">
      <w:pPr>
        <w:numPr>
          <w:ilvl w:val="1"/>
          <w:numId w:val="28"/>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C2893B">
      <w:pPr>
        <w:numPr>
          <w:ilvl w:val="0"/>
          <w:numId w:val="29"/>
        </w:numPr>
        <w:tabs>
          <w:tab w:val="left" w:pos="540"/>
        </w:tabs>
        <w:snapToGrid w:val="0"/>
        <w:spacing w:line="360" w:lineRule="auto"/>
        <w:ind w:left="510" w:hanging="510"/>
        <w:rPr>
          <w:rFonts w:ascii="宋体" w:hAnsi="宋体"/>
          <w:color w:val="auto"/>
          <w:highlight w:val="none"/>
          <w:lang w:val="en-GB"/>
        </w:rPr>
      </w:pPr>
      <w:r>
        <w:rPr>
          <w:rFonts w:ascii="宋体" w:hAnsi="宋体"/>
          <w:b/>
          <w:color w:val="auto"/>
          <w:highlight w:val="none"/>
          <w:lang w:val="en-GB"/>
        </w:rPr>
        <w:t>实质性响应</w:t>
      </w:r>
      <w:r>
        <w:rPr>
          <w:rFonts w:hint="eastAsia" w:ascii="宋体" w:hAnsi="宋体"/>
          <w:b/>
          <w:color w:val="auto"/>
          <w:highlight w:val="none"/>
          <w:lang w:val="en-GB"/>
        </w:rPr>
        <w:t>。</w:t>
      </w:r>
      <w:r>
        <w:rPr>
          <w:rFonts w:ascii="宋体" w:hAnsi="宋体"/>
          <w:color w:val="auto"/>
          <w:highlight w:val="none"/>
          <w:lang w:val="en-GB"/>
        </w:rPr>
        <w:t xml:space="preserve">是指符合招标文件的关键性和重要要求、条款、条件、规定，且没有不利于 项目实施质量效果和服务保障的重大偏离或保留。实质性条款包括但不限于本文件涉及的 “商务要求中的各项条款”及其它带“★”标注的强制响应条款。 </w:t>
      </w:r>
    </w:p>
    <w:p w14:paraId="0E1B6A2A">
      <w:pPr>
        <w:numPr>
          <w:ilvl w:val="0"/>
          <w:numId w:val="29"/>
        </w:numPr>
        <w:tabs>
          <w:tab w:val="left" w:pos="540"/>
        </w:tabs>
        <w:snapToGrid w:val="0"/>
        <w:spacing w:line="360" w:lineRule="auto"/>
        <w:ind w:left="510" w:hanging="510"/>
        <w:rPr>
          <w:rFonts w:ascii="宋体" w:hAnsi="宋体"/>
          <w:color w:val="auto"/>
          <w:highlight w:val="none"/>
          <w:lang w:val="en-GB"/>
        </w:rPr>
      </w:pPr>
      <w:r>
        <w:rPr>
          <w:rFonts w:ascii="宋体" w:hAnsi="宋体"/>
          <w:b/>
          <w:color w:val="auto"/>
          <w:highlight w:val="none"/>
          <w:lang w:val="en-GB"/>
        </w:rPr>
        <w:t>重大偏离或保留</w:t>
      </w:r>
      <w:r>
        <w:rPr>
          <w:rFonts w:hint="eastAsia" w:ascii="宋体" w:hAnsi="宋体"/>
          <w:b/>
          <w:color w:val="auto"/>
          <w:highlight w:val="none"/>
          <w:lang w:val="en-GB"/>
        </w:rPr>
        <w:t>。</w:t>
      </w:r>
      <w:r>
        <w:rPr>
          <w:rFonts w:ascii="宋体" w:hAnsi="宋体"/>
          <w:color w:val="auto"/>
          <w:highlight w:val="none"/>
          <w:lang w:val="en-GB"/>
        </w:rPr>
        <w:t xml:space="preserve">是指影响到招标文件规定的范围、质量和性能或限制了采购人的权力和投标人义务的规定，而调整纠正这些偏离将直接影响到其它投标人的公平竞争地位。 </w:t>
      </w:r>
    </w:p>
    <w:p w14:paraId="23ADC967">
      <w:pPr>
        <w:numPr>
          <w:ilvl w:val="0"/>
          <w:numId w:val="29"/>
        </w:numPr>
        <w:tabs>
          <w:tab w:val="left" w:pos="540"/>
        </w:tabs>
        <w:snapToGrid w:val="0"/>
        <w:spacing w:line="360" w:lineRule="auto"/>
        <w:ind w:left="510" w:hanging="510"/>
        <w:rPr>
          <w:rFonts w:hint="eastAsia" w:ascii="宋体" w:hAnsi="宋体"/>
          <w:color w:val="auto"/>
          <w:highlight w:val="none"/>
          <w:lang w:val="en-GB"/>
        </w:rPr>
      </w:pPr>
      <w:r>
        <w:rPr>
          <w:rFonts w:ascii="宋体" w:hAnsi="宋体"/>
          <w:b/>
          <w:color w:val="auto"/>
          <w:highlight w:val="none"/>
          <w:lang w:val="en-GB"/>
        </w:rPr>
        <w:t>轻微偏离</w:t>
      </w:r>
      <w:r>
        <w:rPr>
          <w:rFonts w:hint="eastAsia" w:ascii="宋体" w:hAnsi="宋体"/>
          <w:b/>
          <w:color w:val="auto"/>
          <w:highlight w:val="none"/>
          <w:lang w:val="en-GB"/>
        </w:rPr>
        <w:t>。</w:t>
      </w:r>
      <w:r>
        <w:rPr>
          <w:rFonts w:ascii="宋体" w:hAnsi="宋体"/>
          <w:color w:val="auto"/>
          <w:highlight w:val="none"/>
          <w:lang w:val="en-GB"/>
        </w:rPr>
        <w:t xml:space="preserve">是指投标文件能够实质上响应招标文件要求，但在个别地方存在漏项或者提供 了不完整的技术信息和数据等情况，并且补正这些遗漏或者不完整不会对其他投标人造成 不公平的结果。它包括负偏离（劣于）和正偏离(优于)。 </w:t>
      </w:r>
    </w:p>
    <w:p w14:paraId="5A65E7AF">
      <w:pPr>
        <w:numPr>
          <w:ilvl w:val="0"/>
          <w:numId w:val="29"/>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初审结论。</w:t>
      </w:r>
      <w:r>
        <w:rPr>
          <w:rFonts w:hint="eastAsia" w:ascii="宋体" w:hAnsi="宋体"/>
          <w:color w:val="auto"/>
          <w:highlight w:val="none"/>
          <w:lang w:val="en-GB"/>
        </w:rPr>
        <w:t>初审结论以记名方式独立表决，评审过程中对初步认定为“初审不合格”或“无效投标”或“不通过</w:t>
      </w:r>
      <w:r>
        <w:rPr>
          <w:rFonts w:ascii="宋体" w:hAnsi="宋体"/>
          <w:color w:val="auto"/>
          <w:highlight w:val="none"/>
          <w:lang w:val="en-GB"/>
        </w:rPr>
        <w:t>”</w:t>
      </w:r>
      <w:r>
        <w:rPr>
          <w:rFonts w:hint="eastAsia" w:ascii="宋体" w:hAnsi="宋体"/>
          <w:color w:val="auto"/>
          <w:highlight w:val="none"/>
          <w:lang w:val="en-GB"/>
        </w:rPr>
        <w:t>者，磋商小组可通知供应商授权代表亲自到达现场，由当事人对被列举的事实加以核证和确认。对有过半数评委审定为“初审不合格”或“无效投标”或“不通过</w:t>
      </w:r>
      <w:r>
        <w:rPr>
          <w:rFonts w:ascii="宋体" w:hAnsi="宋体"/>
          <w:color w:val="auto"/>
          <w:highlight w:val="none"/>
          <w:lang w:val="en-GB"/>
        </w:rPr>
        <w:t>”</w:t>
      </w:r>
      <w:r>
        <w:rPr>
          <w:rFonts w:hint="eastAsia" w:ascii="宋体" w:hAnsi="宋体"/>
          <w:color w:val="auto"/>
          <w:highlight w:val="none"/>
          <w:lang w:val="en-GB"/>
        </w:rPr>
        <w:t>者将不进入下列程序的评审。</w:t>
      </w:r>
    </w:p>
    <w:p w14:paraId="1E2483B9">
      <w:pPr>
        <w:numPr>
          <w:ilvl w:val="0"/>
          <w:numId w:val="2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磋商。</w:t>
      </w:r>
    </w:p>
    <w:p w14:paraId="14A577B1">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磋商小组所有成员应当集中与单一供应商分别进行磋商，并给予所有参加磋商的供应商平等的磋商机会。</w:t>
      </w:r>
    </w:p>
    <w:p w14:paraId="7B8F0FE8">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在磋商过程中，磋商小组可以根据磋商文件和磋商情况实质性变动采购需求中的技术、服务要求以及合同草案条款，但不得变动磋商文件中的其他内容。实质性变动的内容，须经采购人代表确认。</w:t>
      </w:r>
    </w:p>
    <w:p w14:paraId="74C27D11">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对磋商文件作出的实质性变动是磋商文件的有效组成部分，磋商小组应当及时以书面形式同时通知所有参加磋商的供应商。</w:t>
      </w:r>
    </w:p>
    <w:p w14:paraId="5DEC2CAC">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1896AA2">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磋商文件能够详细列明采购标的的技术、服务要求的，磋商结束后，磋商小组</w:t>
      </w:r>
      <w:r>
        <w:rPr>
          <w:rFonts w:hint="eastAsia" w:ascii="宋体" w:hAnsi="宋体"/>
          <w:color w:val="auto"/>
          <w:highlight w:val="none"/>
        </w:rPr>
        <w:t>可</w:t>
      </w:r>
      <w:r>
        <w:rPr>
          <w:rFonts w:hint="eastAsia" w:ascii="宋体" w:hAnsi="宋体"/>
          <w:color w:val="auto"/>
          <w:highlight w:val="none"/>
          <w:lang w:val="en-GB"/>
        </w:rPr>
        <w:t>要求所有实质性响应的供应商在规定时间内提交最后报价（是否进行最终报价及最终报价时间视磋商进程由磋商小组决定），提交最后报价的供应商不得少于3家。</w:t>
      </w:r>
    </w:p>
    <w:p w14:paraId="36BA266B">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5619658">
      <w:pPr>
        <w:numPr>
          <w:ilvl w:val="1"/>
          <w:numId w:val="3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已提交响应文件的供应商，在提交最后报价之前，可以根据磋商情况退出磋商。</w:t>
      </w:r>
    </w:p>
    <w:p w14:paraId="0FE7659E">
      <w:pPr>
        <w:numPr>
          <w:ilvl w:val="0"/>
          <w:numId w:val="26"/>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最后报价</w:t>
      </w:r>
      <w:r>
        <w:rPr>
          <w:rFonts w:ascii="宋体" w:hAnsi="宋体"/>
          <w:b/>
          <w:color w:val="auto"/>
          <w:highlight w:val="none"/>
          <w:lang w:val="en-GB"/>
        </w:rPr>
        <w:t>。</w:t>
      </w:r>
    </w:p>
    <w:p w14:paraId="4302A84F">
      <w:pPr>
        <w:numPr>
          <w:ilvl w:val="1"/>
          <w:numId w:val="31"/>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结束后，所有作出实质性响应的有效供应商应在规定的时间内集中密封提交最后报价（最后报价时间视磋商进程由磋商小组决定）。除非在磋商中磋商小组调整或修改竞争性磋商文件内容，一般情况下最后报价均不得高于前一次报价，否则采购人不接受高于前面轮次磋商报价的最后报价。最后报价内容须现场公布。对成交供应商的价格出现明显低于或高于同业同期市场平均价的情形时，磋商小组应当在评审意见中详细说明推荐理由。</w:t>
      </w:r>
    </w:p>
    <w:p w14:paraId="57FBFC90">
      <w:pPr>
        <w:numPr>
          <w:ilvl w:val="1"/>
          <w:numId w:val="31"/>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最后报价是供应商响应文件的有效组成部分。</w:t>
      </w:r>
    </w:p>
    <w:p w14:paraId="407D9234">
      <w:pPr>
        <w:numPr>
          <w:ilvl w:val="0"/>
          <w:numId w:val="2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比较与评价。</w:t>
      </w:r>
    </w:p>
    <w:p w14:paraId="0C579849">
      <w:pPr>
        <w:numPr>
          <w:ilvl w:val="1"/>
          <w:numId w:val="32"/>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经磋商确定最终采购需求和提交最后报价的供应商后，由磋商小组采用综合评分法（详见本部分“六、评审方法及标准”）对提交最后报价的供应商的响应文件和最后报价进行综合评分。</w:t>
      </w:r>
    </w:p>
    <w:p w14:paraId="0C869C37">
      <w:pPr>
        <w:numPr>
          <w:ilvl w:val="1"/>
          <w:numId w:val="32"/>
        </w:numPr>
        <w:tabs>
          <w:tab w:val="left" w:pos="540"/>
        </w:tabs>
        <w:spacing w:line="360" w:lineRule="auto"/>
        <w:ind w:left="510" w:hanging="510"/>
        <w:rPr>
          <w:rFonts w:ascii="宋体" w:hAnsi="宋体"/>
          <w:color w:val="auto"/>
          <w:highlight w:val="none"/>
          <w:lang w:val="en-GB"/>
        </w:rPr>
      </w:pPr>
      <w:r>
        <w:rPr>
          <w:rFonts w:hint="eastAsia" w:ascii="宋体" w:hAnsi="宋体"/>
          <w:color w:val="auto"/>
          <w:highlight w:val="none"/>
          <w:lang w:val="en-GB"/>
        </w:rPr>
        <w:t>评审时，磋商小组各成员应当独立对每个有效响应的文件进行评价、打分，然后汇总每个供应商每项评分因素的得分。评分按四舍五入的原则精确至小数点后两位。</w:t>
      </w:r>
    </w:p>
    <w:p w14:paraId="4766BE73">
      <w:pPr>
        <w:numPr>
          <w:ilvl w:val="0"/>
          <w:numId w:val="26"/>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政策性价格折扣。</w:t>
      </w:r>
    </w:p>
    <w:p w14:paraId="2541B97C">
      <w:pPr>
        <w:numPr>
          <w:ilvl w:val="1"/>
          <w:numId w:val="33"/>
        </w:numPr>
        <w:tabs>
          <w:tab w:val="left" w:pos="540"/>
        </w:tabs>
        <w:spacing w:line="360" w:lineRule="auto"/>
        <w:ind w:left="510" w:hanging="510"/>
        <w:rPr>
          <w:rFonts w:hint="eastAsia" w:ascii="宋体" w:hAnsi="宋体"/>
          <w:color w:val="auto"/>
          <w:highlight w:val="none"/>
          <w:lang w:val="en-GB"/>
        </w:rPr>
      </w:pPr>
      <w:r>
        <w:rPr>
          <w:rFonts w:ascii="宋体" w:hAnsi="宋体" w:cs="宋体"/>
          <w:color w:val="auto"/>
          <w:highlight w:val="none"/>
          <w:lang w:val="zh-CN" w:eastAsia="zh-CN"/>
        </w:rPr>
        <w:t>《政府采购促进中小企业发展管理办法》（财库〔2020〕46号）</w:t>
      </w:r>
    </w:p>
    <w:p w14:paraId="25004C45">
      <w:pPr>
        <w:numPr>
          <w:ilvl w:val="1"/>
          <w:numId w:val="33"/>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《关于政府采购支持监狱企业发展有关问题的通知》(财库〔2014〕68号)</w:t>
      </w:r>
    </w:p>
    <w:p w14:paraId="762A0B22">
      <w:pPr>
        <w:numPr>
          <w:ilvl w:val="1"/>
          <w:numId w:val="33"/>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《关于促进残疾人就业政府采购政策的通知》（财库〔2017〕141号)</w:t>
      </w:r>
    </w:p>
    <w:p w14:paraId="0677FF06">
      <w:pPr>
        <w:numPr>
          <w:ilvl w:val="1"/>
          <w:numId w:val="33"/>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具体扣除比例详见“评审方法及标准”。</w:t>
      </w:r>
    </w:p>
    <w:p w14:paraId="707527F0">
      <w:pPr>
        <w:numPr>
          <w:ilvl w:val="0"/>
          <w:numId w:val="2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b/>
          <w:color w:val="auto"/>
          <w:highlight w:val="none"/>
          <w:lang w:val="en-GB"/>
        </w:rPr>
        <w:t>综合汇总及推荐结果。</w:t>
      </w:r>
    </w:p>
    <w:p w14:paraId="0FE18767">
      <w:pPr>
        <w:numPr>
          <w:ilvl w:val="1"/>
          <w:numId w:val="3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将各磋商小组成员的评分进行汇总，综合总分</w:t>
      </w:r>
      <w:r>
        <w:rPr>
          <w:rFonts w:hint="eastAsia" w:ascii="宋体" w:hAnsi="宋体"/>
          <w:b/>
          <w:bCs/>
          <w:color w:val="auto"/>
          <w:highlight w:val="none"/>
          <w:lang w:val="en-GB"/>
        </w:rPr>
        <w:t>（按照评审因素的量化指标评审得分）</w:t>
      </w:r>
      <w:r>
        <w:rPr>
          <w:rFonts w:hint="eastAsia" w:ascii="宋体" w:hAnsi="宋体"/>
          <w:color w:val="auto"/>
          <w:highlight w:val="none"/>
          <w:lang w:val="en-GB"/>
        </w:rPr>
        <w:t>从高到低顺序排列，推荐综合得分</w:t>
      </w:r>
      <w:r>
        <w:rPr>
          <w:rFonts w:hint="eastAsia" w:ascii="宋体" w:hAnsi="宋体"/>
          <w:b/>
          <w:bCs/>
          <w:color w:val="auto"/>
          <w:highlight w:val="none"/>
          <w:lang w:val="en-GB"/>
        </w:rPr>
        <w:t>（按照评审因素的量化指标评审得分）</w:t>
      </w:r>
      <w:r>
        <w:rPr>
          <w:rFonts w:ascii="宋体" w:hAnsi="宋体" w:cs="宋体"/>
          <w:color w:val="auto"/>
          <w:highlight w:val="none"/>
          <w:lang w:val="zh-CN" w:eastAsia="zh-CN"/>
        </w:rPr>
        <w:t>排名前</w:t>
      </w:r>
      <w:r>
        <w:rPr>
          <w:rFonts w:ascii="宋体" w:hAnsi="宋体" w:cs="宋体"/>
          <w:color w:val="auto"/>
          <w:highlight w:val="none"/>
        </w:rPr>
        <w:t>3</w:t>
      </w:r>
      <w:r>
        <w:rPr>
          <w:rFonts w:ascii="宋体" w:hAnsi="宋体" w:cs="宋体"/>
          <w:color w:val="auto"/>
          <w:highlight w:val="none"/>
          <w:lang w:val="zh-CN" w:eastAsia="zh-CN"/>
        </w:rPr>
        <w:t>名的供应商为第一、</w:t>
      </w:r>
      <w:r>
        <w:rPr>
          <w:rFonts w:ascii="宋体" w:hAnsi="宋体" w:cs="宋体"/>
          <w:color w:val="auto"/>
          <w:highlight w:val="none"/>
        </w:rPr>
        <w:t>第二、第三</w:t>
      </w:r>
      <w:r>
        <w:rPr>
          <w:rFonts w:ascii="宋体" w:hAnsi="宋体" w:cs="宋体"/>
          <w:color w:val="auto"/>
          <w:highlight w:val="none"/>
          <w:lang w:val="zh-CN" w:eastAsia="zh-CN"/>
        </w:rPr>
        <w:t>成交候选人并向采购人出具书面评标报告。</w:t>
      </w:r>
    </w:p>
    <w:p w14:paraId="537655BA">
      <w:pPr>
        <w:numPr>
          <w:ilvl w:val="1"/>
          <w:numId w:val="34"/>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磋商小组成员推荐成交候选人的数量：详见《供应商须知前附表》</w:t>
      </w:r>
    </w:p>
    <w:p w14:paraId="668DBFA3">
      <w:pPr>
        <w:numPr>
          <w:ilvl w:val="1"/>
          <w:numId w:val="34"/>
        </w:numPr>
        <w:tabs>
          <w:tab w:val="left" w:pos="540"/>
        </w:tabs>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如评标总得分排名第一名有多家供应商得分并列相同的，按照最后报价由低到高的顺序推荐；评审得分且最后报价相同的，</w:t>
      </w:r>
      <w:r>
        <w:rPr>
          <w:rFonts w:hint="eastAsia" w:ascii="宋体" w:hAnsi="宋体" w:cs="宋体"/>
          <w:color w:val="auto"/>
          <w:highlight w:val="none"/>
          <w:lang w:val="en-US" w:eastAsia="zh-CN"/>
        </w:rPr>
        <w:t>响应</w:t>
      </w:r>
      <w:r>
        <w:rPr>
          <w:rFonts w:hint="eastAsia" w:ascii="宋体" w:hAnsi="宋体" w:cs="宋体"/>
          <w:color w:val="auto"/>
          <w:highlight w:val="none"/>
          <w:lang w:val="zh-CN" w:eastAsia="zh-CN"/>
        </w:rPr>
        <w:t>文件满足</w:t>
      </w:r>
      <w:r>
        <w:rPr>
          <w:rFonts w:hint="eastAsia" w:ascii="宋体" w:hAnsi="宋体" w:cs="宋体"/>
          <w:color w:val="auto"/>
          <w:highlight w:val="none"/>
          <w:lang w:val="en-US" w:eastAsia="zh-CN"/>
        </w:rPr>
        <w:t>磋商</w:t>
      </w:r>
      <w:r>
        <w:rPr>
          <w:rFonts w:hint="eastAsia" w:ascii="宋体" w:hAnsi="宋体" w:cs="宋体"/>
          <w:color w:val="auto"/>
          <w:highlight w:val="none"/>
          <w:lang w:val="zh-CN" w:eastAsia="zh-CN"/>
        </w:rPr>
        <w:t>文件全部实质性要求，且按照评审因素的量化指标评审得分最高的</w:t>
      </w:r>
      <w:r>
        <w:rPr>
          <w:rFonts w:hint="eastAsia" w:ascii="宋体" w:hAnsi="宋体" w:cs="宋体"/>
          <w:color w:val="auto"/>
          <w:highlight w:val="none"/>
          <w:lang w:val="en-US" w:eastAsia="zh-CN"/>
        </w:rPr>
        <w:t>供应商</w:t>
      </w:r>
      <w:r>
        <w:rPr>
          <w:rFonts w:hint="eastAsia" w:ascii="宋体" w:hAnsi="宋体" w:cs="宋体"/>
          <w:color w:val="auto"/>
          <w:highlight w:val="none"/>
          <w:lang w:val="zh-CN" w:eastAsia="zh-CN"/>
        </w:rPr>
        <w:t>为排名第一的</w:t>
      </w:r>
      <w:r>
        <w:rPr>
          <w:rFonts w:hint="eastAsia" w:ascii="宋体" w:hAnsi="宋体" w:cs="宋体"/>
          <w:color w:val="auto"/>
          <w:highlight w:val="none"/>
          <w:lang w:val="en-US" w:eastAsia="zh-CN"/>
        </w:rPr>
        <w:t>成交</w:t>
      </w:r>
      <w:r>
        <w:rPr>
          <w:rFonts w:hint="eastAsia" w:ascii="宋体" w:hAnsi="宋体" w:cs="宋体"/>
          <w:color w:val="auto"/>
          <w:highlight w:val="none"/>
          <w:lang w:val="zh-CN" w:eastAsia="zh-CN"/>
        </w:rPr>
        <w:t>候选人。如仍出现相同时，则由采购人选择确定。</w:t>
      </w:r>
    </w:p>
    <w:p w14:paraId="58604704">
      <w:pPr>
        <w:numPr>
          <w:ilvl w:val="0"/>
          <w:numId w:val="23"/>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响应文件差异修正准则</w:t>
      </w:r>
    </w:p>
    <w:p w14:paraId="416F710C">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开标内容与响应文件对应内容不一致，均以开标唱读所列述的内容为准；</w:t>
      </w:r>
    </w:p>
    <w:p w14:paraId="3E97CBD9">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正本和副本之间内容有差异，以正本为准；</w:t>
      </w:r>
    </w:p>
    <w:p w14:paraId="34FEA08A">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投标/响应报价中文大写金额和小写金额不一致的，以中文大写金额为准；</w:t>
      </w:r>
    </w:p>
    <w:p w14:paraId="1DE3AF08">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总价金额与按单价汇总金额不一致的，以单价汇总金额为准；</w:t>
      </w:r>
    </w:p>
    <w:p w14:paraId="4DF9684E">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响应文件描述内容与原始材料引述内容不一致时，以原始材料内容为准；</w:t>
      </w:r>
    </w:p>
    <w:p w14:paraId="1A23870C">
      <w:pPr>
        <w:numPr>
          <w:ilvl w:val="0"/>
          <w:numId w:val="35"/>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如出现明显笔误或其他情况，由磋商小组裁定通过方为有效；</w:t>
      </w:r>
    </w:p>
    <w:p w14:paraId="36B68B8C">
      <w:pPr>
        <w:numPr>
          <w:ilvl w:val="0"/>
          <w:numId w:val="35"/>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磋商小组认定为表述不清晰或无法确定的报价均不予修正。</w:t>
      </w:r>
    </w:p>
    <w:p w14:paraId="274AE785">
      <w:pPr>
        <w:numPr>
          <w:ilvl w:val="0"/>
          <w:numId w:val="23"/>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废标条件与处理</w:t>
      </w:r>
      <w:bookmarkEnd w:id="72"/>
    </w:p>
    <w:p w14:paraId="51CD4076">
      <w:pPr>
        <w:tabs>
          <w:tab w:val="left" w:pos="540"/>
        </w:tabs>
        <w:snapToGrid w:val="0"/>
        <w:spacing w:line="360" w:lineRule="auto"/>
        <w:ind w:left="510"/>
        <w:rPr>
          <w:rFonts w:ascii="宋体" w:hAnsi="宋体"/>
          <w:color w:val="auto"/>
          <w:highlight w:val="none"/>
          <w:lang w:val="en-GB"/>
        </w:rPr>
      </w:pPr>
      <w:bookmarkStart w:id="73" w:name="_Toc25726401"/>
      <w:bookmarkStart w:id="74" w:name="_Toc26261448"/>
      <w:r>
        <w:rPr>
          <w:rFonts w:hint="eastAsia" w:ascii="宋体" w:hAnsi="宋体"/>
          <w:color w:val="auto"/>
          <w:highlight w:val="none"/>
          <w:lang w:val="en-GB"/>
        </w:rPr>
        <w:t>本项目或独立分包出现下列条件之一则对应定作废标</w:t>
      </w:r>
      <w:r>
        <w:rPr>
          <w:rFonts w:ascii="宋体" w:hAnsi="宋体"/>
          <w:color w:val="auto"/>
          <w:highlight w:val="none"/>
          <w:lang w:val="en-GB"/>
        </w:rPr>
        <w:t>：</w:t>
      </w:r>
    </w:p>
    <w:p w14:paraId="6DCE0135">
      <w:pPr>
        <w:numPr>
          <w:ilvl w:val="0"/>
          <w:numId w:val="36"/>
        </w:numPr>
        <w:tabs>
          <w:tab w:val="left" w:pos="540"/>
        </w:tabs>
        <w:snapToGrid w:val="0"/>
        <w:spacing w:line="360" w:lineRule="auto"/>
        <w:ind w:left="510" w:hanging="510"/>
        <w:rPr>
          <w:rFonts w:ascii="宋体" w:hAnsi="宋体"/>
          <w:color w:val="auto"/>
          <w:highlight w:val="none"/>
          <w:lang w:val="en-GB"/>
        </w:rPr>
      </w:pPr>
      <w:r>
        <w:rPr>
          <w:rFonts w:hint="eastAsia" w:ascii="宋体" w:hAnsi="宋体"/>
          <w:color w:val="auto"/>
          <w:highlight w:val="none"/>
          <w:lang w:val="en-GB"/>
        </w:rPr>
        <w:t>符合资格条件的供应商，或对磋商文件实质性条款做出响应的供应商不足三家</w:t>
      </w:r>
      <w:r>
        <w:rPr>
          <w:rFonts w:ascii="宋体" w:hAnsi="宋体"/>
          <w:color w:val="auto"/>
          <w:highlight w:val="none"/>
          <w:lang w:val="en-GB"/>
        </w:rPr>
        <w:t>；</w:t>
      </w:r>
    </w:p>
    <w:p w14:paraId="06A7F982">
      <w:pPr>
        <w:numPr>
          <w:ilvl w:val="0"/>
          <w:numId w:val="36"/>
        </w:numPr>
        <w:tabs>
          <w:tab w:val="left" w:pos="540"/>
        </w:tabs>
        <w:snapToGrid w:val="0"/>
        <w:spacing w:line="360" w:lineRule="auto"/>
        <w:ind w:left="510" w:hanging="510"/>
        <w:rPr>
          <w:rFonts w:ascii="宋体" w:hAnsi="宋体"/>
          <w:color w:val="auto"/>
          <w:highlight w:val="none"/>
          <w:lang w:val="en-GB"/>
        </w:rPr>
      </w:pPr>
      <w:r>
        <w:rPr>
          <w:rFonts w:ascii="宋体" w:hAnsi="宋体"/>
          <w:color w:val="auto"/>
          <w:highlight w:val="none"/>
          <w:lang w:val="en-GB"/>
        </w:rPr>
        <w:t>供应商的报价</w:t>
      </w:r>
      <w:r>
        <w:rPr>
          <w:color w:val="auto"/>
          <w:highlight w:val="none"/>
          <w:lang w:val="en-GB"/>
        </w:rPr>
        <w:t>均超过了采购预算控制范围且采购人不能接受</w:t>
      </w:r>
      <w:r>
        <w:rPr>
          <w:rFonts w:hint="eastAsia" w:ascii="Calibri"/>
          <w:color w:val="auto"/>
          <w:highlight w:val="none"/>
          <w:lang w:val="en-GB"/>
        </w:rPr>
        <w:t>或</w:t>
      </w:r>
      <w:r>
        <w:rPr>
          <w:rFonts w:hint="eastAsia" w:ascii="宋体" w:hAnsi="宋体"/>
          <w:color w:val="auto"/>
          <w:highlight w:val="none"/>
          <w:lang w:val="en-GB"/>
        </w:rPr>
        <w:t>不符合磋商文件要求</w:t>
      </w:r>
      <w:r>
        <w:rPr>
          <w:rFonts w:ascii="宋体" w:hAnsi="宋体"/>
          <w:color w:val="auto"/>
          <w:highlight w:val="none"/>
          <w:lang w:val="en-GB"/>
        </w:rPr>
        <w:t>；</w:t>
      </w:r>
    </w:p>
    <w:p w14:paraId="2FAD39AA">
      <w:pPr>
        <w:numPr>
          <w:ilvl w:val="0"/>
          <w:numId w:val="36"/>
        </w:numPr>
        <w:tabs>
          <w:tab w:val="left" w:pos="540"/>
        </w:tabs>
        <w:snapToGrid w:val="0"/>
        <w:spacing w:line="360" w:lineRule="auto"/>
        <w:ind w:left="510" w:hanging="510"/>
        <w:rPr>
          <w:rFonts w:hint="eastAsia" w:ascii="宋体" w:hAnsi="宋体"/>
          <w:color w:val="auto"/>
          <w:highlight w:val="none"/>
          <w:lang w:val="en-GB"/>
        </w:rPr>
      </w:pPr>
      <w:r>
        <w:rPr>
          <w:rFonts w:ascii="宋体" w:hAnsi="宋体"/>
          <w:color w:val="auto"/>
          <w:highlight w:val="none"/>
          <w:lang w:val="en-GB"/>
        </w:rPr>
        <w:t>采购过程出现影响公平公正竞争的违法、违规行为</w:t>
      </w:r>
      <w:r>
        <w:rPr>
          <w:rFonts w:hint="eastAsia" w:ascii="宋体" w:hAnsi="宋体"/>
          <w:color w:val="auto"/>
          <w:highlight w:val="none"/>
          <w:lang w:val="en-GB"/>
        </w:rPr>
        <w:t>；</w:t>
      </w:r>
    </w:p>
    <w:p w14:paraId="4652E7F3">
      <w:pPr>
        <w:numPr>
          <w:ilvl w:val="0"/>
          <w:numId w:val="36"/>
        </w:numPr>
        <w:tabs>
          <w:tab w:val="left" w:pos="540"/>
        </w:tabs>
        <w:snapToGrid w:val="0"/>
        <w:spacing w:line="360" w:lineRule="auto"/>
        <w:ind w:left="510" w:hanging="510"/>
        <w:rPr>
          <w:rFonts w:hint="eastAsia" w:ascii="宋体" w:hAnsi="宋体"/>
          <w:color w:val="auto"/>
          <w:highlight w:val="none"/>
          <w:lang w:val="en-GB"/>
        </w:rPr>
      </w:pPr>
      <w:r>
        <w:rPr>
          <w:rFonts w:ascii="宋体" w:hAnsi="宋体"/>
          <w:color w:val="auto"/>
          <w:highlight w:val="none"/>
          <w:lang w:val="en-GB"/>
        </w:rPr>
        <w:t>因重大变故，接财政部门通知本项目采购活动须即中止或取消。</w:t>
      </w:r>
    </w:p>
    <w:p w14:paraId="7536EA20">
      <w:pPr>
        <w:tabs>
          <w:tab w:val="left" w:pos="540"/>
        </w:tabs>
        <w:snapToGrid w:val="0"/>
        <w:spacing w:line="360" w:lineRule="auto"/>
        <w:ind w:firstLine="480" w:firstLineChars="200"/>
        <w:rPr>
          <w:rFonts w:hint="eastAsia" w:ascii="宋体" w:hAnsi="宋体"/>
          <w:color w:val="auto"/>
          <w:highlight w:val="none"/>
          <w:lang w:val="en-GB"/>
        </w:rPr>
      </w:pPr>
      <w:r>
        <w:rPr>
          <w:rFonts w:ascii="宋体" w:hAnsi="宋体"/>
          <w:color w:val="auto"/>
          <w:highlight w:val="none"/>
          <w:lang w:val="en-GB"/>
        </w:rPr>
        <w:t>符合第1-3条其中之一废标条件时</w:t>
      </w:r>
      <w:r>
        <w:rPr>
          <w:rFonts w:hint="eastAsia" w:ascii="宋体" w:hAnsi="宋体"/>
          <w:color w:val="auto"/>
          <w:highlight w:val="none"/>
          <w:lang w:val="en-GB"/>
        </w:rPr>
        <w:t>（符合本部分“特殊情形”的除外）</w:t>
      </w:r>
      <w:r>
        <w:rPr>
          <w:rFonts w:ascii="宋体" w:hAnsi="宋体"/>
          <w:color w:val="auto"/>
          <w:highlight w:val="none"/>
          <w:lang w:val="en-GB"/>
        </w:rPr>
        <w:t>，将择日重新组织招标，同时将废标理由和</w:t>
      </w:r>
      <w:r>
        <w:rPr>
          <w:rFonts w:hint="eastAsia" w:ascii="宋体" w:hAnsi="宋体"/>
          <w:color w:val="auto"/>
          <w:highlight w:val="none"/>
          <w:lang w:val="en-GB"/>
        </w:rPr>
        <w:t>处理决定知会各相关供应商</w:t>
      </w:r>
      <w:r>
        <w:rPr>
          <w:rFonts w:ascii="宋体" w:hAnsi="宋体"/>
          <w:color w:val="auto"/>
          <w:highlight w:val="none"/>
          <w:lang w:val="en-GB"/>
        </w:rPr>
        <w:t>。</w:t>
      </w:r>
    </w:p>
    <w:p w14:paraId="5D367843">
      <w:pPr>
        <w:numPr>
          <w:ilvl w:val="0"/>
          <w:numId w:val="23"/>
        </w:numPr>
        <w:tabs>
          <w:tab w:val="left" w:pos="540"/>
        </w:tabs>
        <w:snapToGrid w:val="0"/>
        <w:spacing w:line="360" w:lineRule="auto"/>
        <w:ind w:left="510" w:hanging="510"/>
        <w:rPr>
          <w:rFonts w:hint="eastAsia" w:ascii="宋体" w:hAnsi="宋体"/>
          <w:b/>
          <w:color w:val="auto"/>
          <w:highlight w:val="none"/>
          <w:lang w:val="en-GB"/>
        </w:rPr>
      </w:pPr>
      <w:bookmarkStart w:id="75" w:name="_Toc332090780"/>
      <w:r>
        <w:rPr>
          <w:rFonts w:hint="eastAsia" w:ascii="宋体" w:hAnsi="宋体"/>
          <w:b/>
          <w:color w:val="auto"/>
          <w:highlight w:val="none"/>
          <w:lang w:val="en-GB"/>
        </w:rPr>
        <w:t>无效投标/响应行为的认定</w:t>
      </w:r>
      <w:bookmarkEnd w:id="75"/>
    </w:p>
    <w:p w14:paraId="6A17F9F6">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bookmarkStart w:id="76" w:name="_Toc136682902"/>
      <w:bookmarkStart w:id="77" w:name="_Toc136662926"/>
      <w:bookmarkStart w:id="78" w:name="_Toc119321137"/>
      <w:bookmarkStart w:id="79" w:name="_Toc528736192"/>
      <w:bookmarkStart w:id="80" w:name="_Toc275954897"/>
      <w:bookmarkStart w:id="81" w:name="_Toc276220269"/>
      <w:r>
        <w:rPr>
          <w:rFonts w:ascii="宋体" w:hAnsi="宋体" w:cs="宋体"/>
          <w:color w:val="auto"/>
          <w:highlight w:val="none"/>
          <w:lang w:val="zh-CN" w:eastAsia="zh-CN"/>
        </w:rPr>
        <w:t>不具备磋商文件中规定的供应商资格要求；</w:t>
      </w:r>
    </w:p>
    <w:p w14:paraId="67A7F92D">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磋商报价不符合磋商文件要求，或超出</w:t>
      </w:r>
      <w:r>
        <w:rPr>
          <w:rFonts w:ascii="宋体" w:hAnsi="宋体" w:cs="宋体"/>
          <w:color w:val="auto"/>
          <w:highlight w:val="none"/>
        </w:rPr>
        <w:t>采购项目预算金额（最高报价上限价）</w:t>
      </w:r>
      <w:r>
        <w:rPr>
          <w:rFonts w:ascii="宋体" w:hAnsi="宋体" w:cs="宋体"/>
          <w:color w:val="auto"/>
          <w:highlight w:val="none"/>
          <w:lang w:val="zh-CN" w:eastAsia="zh-CN"/>
        </w:rPr>
        <w:t>；</w:t>
      </w:r>
    </w:p>
    <w:p w14:paraId="7F34B051">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投标/响应主体不明确；不符合磋商文件中合格供应商的相关规定；货物或服务不符合法定和约定的合格性标准要求；</w:t>
      </w:r>
    </w:p>
    <w:p w14:paraId="5968CDA9">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以假借、挂靠他人名义或用串谋勾结等形式参与投标，在独立供应商之间构成非法互惠利益和同盟关系；</w:t>
      </w:r>
    </w:p>
    <w:p w14:paraId="76AAB0A5">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单位负责人为同一人或者存在控股、管理关系的不同单位同时参与投标/响应并递交响应文件；</w:t>
      </w:r>
    </w:p>
    <w:p w14:paraId="505C70B6">
      <w:pPr>
        <w:numPr>
          <w:ilvl w:val="0"/>
          <w:numId w:val="37"/>
        </w:numPr>
        <w:tabs>
          <w:tab w:val="left" w:pos="510"/>
          <w:tab w:val="left" w:pos="540"/>
        </w:tabs>
        <w:snapToGrid w:val="0"/>
        <w:spacing w:line="360" w:lineRule="auto"/>
        <w:ind w:left="510" w:hanging="510"/>
        <w:rPr>
          <w:color w:val="auto"/>
          <w:highlight w:val="none"/>
          <w:lang w:val="zh-CN" w:eastAsia="zh-CN"/>
        </w:rPr>
      </w:pPr>
      <w:r>
        <w:rPr>
          <w:color w:val="auto"/>
          <w:highlight w:val="none"/>
          <w:lang w:val="zh-CN" w:eastAsia="zh-CN"/>
        </w:rPr>
        <w:t>供应商的主要成员同时出任其它供应商的重要职位，包括：法定代表人、董事成员、监事成员、高级经理或有可能影响公平竞争的关键岗位；</w:t>
      </w:r>
    </w:p>
    <w:p w14:paraId="2B390C91">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同一家供应商递交两套或以上不同的响应文件（正本）；（注：分册属同一套文件。）</w:t>
      </w:r>
    </w:p>
    <w:p w14:paraId="0760598C">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未能有效通过初审检查，对约定必备的合格条件和重要关键内容出现实质性偏离；</w:t>
      </w:r>
    </w:p>
    <w:p w14:paraId="31EDCAA0">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提供的中小企业声明与承诺等证明材料经认定后存在虚假或与事实不符的情形；提供虚假材料谋取中标/成交的；</w:t>
      </w:r>
    </w:p>
    <w:p w14:paraId="3F80F298">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投标有效期不响应磋商文件要求；</w:t>
      </w:r>
    </w:p>
    <w:p w14:paraId="1EBC9747">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响应文件编制和装订严重不符合磋商文件要求；（注：装订不牢固或活页装订，或递交的响应文件份数与《供应商须知前附表》要求不符的，属于无效投标行为。）</w:t>
      </w:r>
    </w:p>
    <w:p w14:paraId="2F5AA463">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磋商文件明示盖公章处未加盖公章；</w:t>
      </w:r>
    </w:p>
    <w:p w14:paraId="6EF9D76D">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磋商文件明示需签字或签章处未有法定代表人或全权代表签字或签章；</w:t>
      </w:r>
    </w:p>
    <w:p w14:paraId="42DEE0F9">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拒绝、对抗磋商小组所作的决定或合理要求；</w:t>
      </w:r>
    </w:p>
    <w:p w14:paraId="5167200C">
      <w:pPr>
        <w:numPr>
          <w:ilvl w:val="0"/>
          <w:numId w:val="37"/>
        </w:numPr>
        <w:tabs>
          <w:tab w:val="left" w:pos="510"/>
          <w:tab w:val="left" w:pos="540"/>
        </w:tabs>
        <w:snapToGrid w:val="0"/>
        <w:spacing w:line="360" w:lineRule="auto"/>
        <w:ind w:left="510" w:hanging="510"/>
        <w:rPr>
          <w:rFonts w:ascii="宋体" w:hAnsi="宋体" w:cs="宋体"/>
          <w:color w:val="auto"/>
          <w:highlight w:val="none"/>
          <w:lang w:val="zh-CN" w:eastAsia="zh-CN"/>
        </w:rPr>
      </w:pPr>
      <w:r>
        <w:rPr>
          <w:rFonts w:ascii="宋体" w:hAnsi="宋体" w:cs="宋体"/>
          <w:color w:val="auto"/>
          <w:highlight w:val="none"/>
          <w:lang w:val="zh-CN" w:eastAsia="zh-CN"/>
        </w:rPr>
        <w:t>投标方案、磋商报价表述不清晰或无法确定；</w:t>
      </w:r>
    </w:p>
    <w:p w14:paraId="26E3851D">
      <w:pPr>
        <w:numPr>
          <w:ilvl w:val="0"/>
          <w:numId w:val="37"/>
        </w:numPr>
        <w:tabs>
          <w:tab w:val="left" w:pos="510"/>
          <w:tab w:val="left" w:pos="540"/>
        </w:tabs>
        <w:snapToGrid w:val="0"/>
        <w:spacing w:line="360" w:lineRule="auto"/>
        <w:ind w:left="510" w:hanging="510"/>
        <w:rPr>
          <w:rFonts w:hint="eastAsia" w:ascii="宋体" w:hAnsi="宋体"/>
          <w:color w:val="auto"/>
          <w:highlight w:val="none"/>
          <w:lang w:val="en-GB"/>
        </w:rPr>
      </w:pPr>
      <w:r>
        <w:rPr>
          <w:rFonts w:ascii="宋体" w:hAnsi="宋体" w:cs="宋体"/>
          <w:color w:val="auto"/>
          <w:highlight w:val="none"/>
          <w:lang w:val="zh-CN" w:eastAsia="zh-CN"/>
        </w:rPr>
        <w:t>符合磋商文件中载明会导致无效投标的其它规定和要求。</w:t>
      </w:r>
    </w:p>
    <w:p w14:paraId="28B9E822">
      <w:pPr>
        <w:numPr>
          <w:ilvl w:val="0"/>
          <w:numId w:val="23"/>
        </w:numPr>
        <w:tabs>
          <w:tab w:val="left" w:pos="540"/>
        </w:tabs>
        <w:snapToGrid w:val="0"/>
        <w:spacing w:line="360" w:lineRule="auto"/>
        <w:ind w:left="510" w:hanging="510"/>
        <w:rPr>
          <w:rFonts w:ascii="宋体" w:hAnsi="宋体"/>
          <w:b/>
          <w:color w:val="auto"/>
          <w:highlight w:val="none"/>
          <w:lang w:val="en-GB"/>
        </w:rPr>
      </w:pPr>
      <w:r>
        <w:rPr>
          <w:rFonts w:hint="eastAsia" w:ascii="宋体" w:hAnsi="宋体"/>
          <w:b/>
          <w:color w:val="auto"/>
          <w:highlight w:val="none"/>
          <w:lang w:val="en-GB"/>
        </w:rPr>
        <w:t>对供应商全权代表的要求</w:t>
      </w:r>
    </w:p>
    <w:bookmarkEnd w:id="73"/>
    <w:bookmarkEnd w:id="74"/>
    <w:bookmarkEnd w:id="76"/>
    <w:bookmarkEnd w:id="77"/>
    <w:bookmarkEnd w:id="78"/>
    <w:bookmarkEnd w:id="79"/>
    <w:bookmarkEnd w:id="80"/>
    <w:bookmarkEnd w:id="81"/>
    <w:p w14:paraId="199D8377">
      <w:pPr>
        <w:numPr>
          <w:ilvl w:val="0"/>
          <w:numId w:val="3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供应商全权代表必须持身份证原件响应磋商小组的临时召唤，其现场所签署确认的文件均代表供应商的决定，并作为响应文件的补充内容具有不可撤消更改的法律效力。</w:t>
      </w:r>
    </w:p>
    <w:p w14:paraId="3D5E15A1">
      <w:pPr>
        <w:numPr>
          <w:ilvl w:val="0"/>
          <w:numId w:val="3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供应商全权代表在现场所签署确认的文件均代表供应商的决定，并作为响应文件的补充内容具有不可撤消更改的同等效力。如有以下情形之一的，该供应商将被视为自动放弃投标资格并作无效投标处理：</w:t>
      </w:r>
    </w:p>
    <w:p w14:paraId="59132F97">
      <w:pPr>
        <w:numPr>
          <w:ilvl w:val="1"/>
          <w:numId w:val="39"/>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供应商全权代表未携带有效身份证明到达评审现场的；</w:t>
      </w:r>
    </w:p>
    <w:p w14:paraId="65881D63">
      <w:pPr>
        <w:numPr>
          <w:ilvl w:val="1"/>
          <w:numId w:val="39"/>
        </w:numPr>
        <w:tabs>
          <w:tab w:val="left" w:pos="540"/>
        </w:tabs>
        <w:spacing w:line="360" w:lineRule="auto"/>
        <w:ind w:left="540" w:hanging="540"/>
        <w:rPr>
          <w:rFonts w:hint="eastAsia" w:ascii="宋体" w:hAnsi="宋体"/>
          <w:color w:val="auto"/>
          <w:highlight w:val="none"/>
          <w:lang w:val="en-GB"/>
        </w:rPr>
      </w:pPr>
      <w:r>
        <w:rPr>
          <w:rFonts w:hint="eastAsia" w:ascii="宋体" w:hAnsi="宋体"/>
          <w:color w:val="auto"/>
          <w:highlight w:val="none"/>
          <w:lang w:val="en-GB"/>
        </w:rPr>
        <w:t>供应商全权代表未能在规定时间内到达评审现场的。</w:t>
      </w:r>
    </w:p>
    <w:p w14:paraId="1D0F760A">
      <w:pPr>
        <w:numPr>
          <w:ilvl w:val="0"/>
          <w:numId w:val="23"/>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采购终止的情形</w:t>
      </w:r>
    </w:p>
    <w:p w14:paraId="38046144">
      <w:pPr>
        <w:tabs>
          <w:tab w:val="left" w:pos="510"/>
          <w:tab w:val="left" w:pos="540"/>
        </w:tabs>
        <w:spacing w:line="360" w:lineRule="auto"/>
        <w:ind w:left="510"/>
        <w:rPr>
          <w:rFonts w:hint="eastAsia" w:ascii="宋体" w:hAnsi="宋体"/>
          <w:color w:val="auto"/>
          <w:highlight w:val="none"/>
          <w:lang w:val="en-GB"/>
        </w:rPr>
      </w:pPr>
      <w:r>
        <w:rPr>
          <w:rFonts w:hint="eastAsia" w:ascii="宋体" w:hAnsi="宋体"/>
          <w:color w:val="auto"/>
          <w:highlight w:val="none"/>
          <w:lang w:val="en-GB"/>
        </w:rPr>
        <w:t>出现下列情形之一的，采购人或者采购代理机构应当终止竞争性磋商采购活动，发布项目终止公告并说明原因，重新开展采购活动：</w:t>
      </w:r>
    </w:p>
    <w:p w14:paraId="3DC3A275">
      <w:pPr>
        <w:numPr>
          <w:ilvl w:val="1"/>
          <w:numId w:val="4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因情况变化，不再符合规定的竞争性磋商采购方式适用情形的；</w:t>
      </w:r>
    </w:p>
    <w:p w14:paraId="4163B92C">
      <w:pPr>
        <w:numPr>
          <w:ilvl w:val="1"/>
          <w:numId w:val="4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出现影响采购公正的违法、违规行为的；</w:t>
      </w:r>
    </w:p>
    <w:p w14:paraId="121C04F8">
      <w:pPr>
        <w:numPr>
          <w:ilvl w:val="1"/>
          <w:numId w:val="40"/>
        </w:numPr>
        <w:tabs>
          <w:tab w:val="left" w:pos="540"/>
        </w:tabs>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在采购过程中符合要求的供应商或者报价未超过采购预算的供应商不足3家的。</w:t>
      </w:r>
    </w:p>
    <w:p w14:paraId="25834C92">
      <w:pPr>
        <w:tabs>
          <w:tab w:val="left" w:pos="510"/>
          <w:tab w:val="left" w:pos="540"/>
        </w:tabs>
        <w:spacing w:line="360" w:lineRule="auto"/>
        <w:ind w:left="510"/>
        <w:rPr>
          <w:rFonts w:hint="eastAsia" w:ascii="宋体" w:hAnsi="宋体"/>
          <w:color w:val="auto"/>
          <w:highlight w:val="none"/>
          <w:lang w:val="en-GB"/>
        </w:rPr>
      </w:pPr>
      <w:r>
        <w:rPr>
          <w:rFonts w:hint="eastAsia" w:ascii="宋体" w:hAnsi="宋体"/>
          <w:color w:val="auto"/>
          <w:highlight w:val="none"/>
          <w:lang w:val="en-GB"/>
        </w:rPr>
        <w:t>（符合本部分“特殊情形”的除外）</w:t>
      </w:r>
    </w:p>
    <w:p w14:paraId="17DCBFF8">
      <w:pPr>
        <w:keepNext/>
        <w:keepLines/>
        <w:widowControl w:val="0"/>
        <w:jc w:val="both"/>
        <w:outlineLvl w:val="1"/>
        <w:rPr>
          <w:rFonts w:hint="eastAsia" w:ascii="Cambria" w:hAnsi="Cambria" w:eastAsia="宋体" w:cs="Times New Roman"/>
          <w:b/>
          <w:bCs/>
          <w:color w:val="auto"/>
          <w:kern w:val="2"/>
          <w:sz w:val="32"/>
          <w:szCs w:val="32"/>
          <w:highlight w:val="none"/>
          <w:lang w:val="en-US" w:eastAsia="zh-CN" w:bidi="ar-SA"/>
        </w:rPr>
      </w:pPr>
      <w:bookmarkStart w:id="82" w:name="_Toc9912"/>
    </w:p>
    <w:p w14:paraId="74350113">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br w:type="page"/>
      </w:r>
      <w:r>
        <w:rPr>
          <w:rFonts w:hint="eastAsia" w:ascii="Cambria" w:hAnsi="Cambria" w:eastAsia="宋体" w:cs="Times New Roman"/>
          <w:b/>
          <w:bCs/>
          <w:color w:val="auto"/>
          <w:kern w:val="2"/>
          <w:sz w:val="32"/>
          <w:szCs w:val="32"/>
          <w:highlight w:val="none"/>
          <w:lang w:val="en-US" w:eastAsia="zh-CN" w:bidi="ar-SA"/>
        </w:rPr>
        <w:t>六、评审方法及标准</w:t>
      </w:r>
      <w:bookmarkEnd w:id="82"/>
    </w:p>
    <w:p w14:paraId="373AACF9">
      <w:pPr>
        <w:rPr>
          <w:rFonts w:hint="eastAsia"/>
          <w:b/>
          <w:color w:val="auto"/>
          <w:sz w:val="32"/>
          <w:szCs w:val="32"/>
          <w:highlight w:val="none"/>
        </w:rPr>
      </w:pPr>
      <w:r>
        <w:rPr>
          <w:rFonts w:hint="eastAsia"/>
          <w:color w:val="auto"/>
          <w:highlight w:val="none"/>
        </w:rPr>
        <w:t>附表一：</w:t>
      </w:r>
    </w:p>
    <w:p w14:paraId="24F6555C">
      <w:pPr>
        <w:jc w:val="center"/>
        <w:rPr>
          <w:rFonts w:hint="eastAsia"/>
          <w:b/>
          <w:color w:val="auto"/>
          <w:sz w:val="32"/>
          <w:szCs w:val="32"/>
          <w:highlight w:val="none"/>
        </w:rPr>
      </w:pPr>
      <w:r>
        <w:rPr>
          <w:rFonts w:hint="eastAsia"/>
          <w:b/>
          <w:color w:val="auto"/>
          <w:sz w:val="32"/>
          <w:szCs w:val="32"/>
          <w:highlight w:val="none"/>
        </w:rPr>
        <w:t>资格性审查标准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631"/>
      </w:tblGrid>
      <w:tr w14:paraId="4A2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5" w:type="dxa"/>
            <w:noWrap w:val="0"/>
            <w:vAlign w:val="center"/>
          </w:tcPr>
          <w:p w14:paraId="42B73101">
            <w:pPr>
              <w:jc w:val="center"/>
              <w:rPr>
                <w:rFonts w:hint="eastAsia"/>
                <w:color w:val="auto"/>
                <w:highlight w:val="none"/>
              </w:rPr>
            </w:pPr>
            <w:r>
              <w:rPr>
                <w:rFonts w:hint="eastAsia"/>
                <w:color w:val="auto"/>
                <w:highlight w:val="none"/>
              </w:rPr>
              <w:t>序号</w:t>
            </w:r>
          </w:p>
        </w:tc>
        <w:tc>
          <w:tcPr>
            <w:tcW w:w="8631" w:type="dxa"/>
            <w:noWrap w:val="0"/>
            <w:vAlign w:val="center"/>
          </w:tcPr>
          <w:p w14:paraId="4F06F3BA">
            <w:pPr>
              <w:jc w:val="center"/>
              <w:rPr>
                <w:rFonts w:hint="eastAsia"/>
                <w:color w:val="auto"/>
                <w:highlight w:val="none"/>
              </w:rPr>
            </w:pPr>
            <w:r>
              <w:rPr>
                <w:rFonts w:hint="eastAsia"/>
                <w:color w:val="auto"/>
                <w:highlight w:val="none"/>
              </w:rPr>
              <w:t>评审内容</w:t>
            </w:r>
          </w:p>
        </w:tc>
      </w:tr>
      <w:tr w14:paraId="64BD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75" w:type="dxa"/>
            <w:noWrap w:val="0"/>
            <w:vAlign w:val="center"/>
          </w:tcPr>
          <w:p w14:paraId="77A31ABC">
            <w:pPr>
              <w:jc w:val="center"/>
              <w:rPr>
                <w:rFonts w:hint="eastAsia"/>
                <w:color w:val="auto"/>
                <w:highlight w:val="none"/>
              </w:rPr>
            </w:pPr>
            <w:r>
              <w:rPr>
                <w:rFonts w:hint="eastAsia"/>
                <w:color w:val="auto"/>
                <w:highlight w:val="none"/>
              </w:rPr>
              <w:t>1</w:t>
            </w:r>
          </w:p>
        </w:tc>
        <w:tc>
          <w:tcPr>
            <w:tcW w:w="8631" w:type="dxa"/>
            <w:noWrap w:val="0"/>
            <w:vAlign w:val="center"/>
          </w:tcPr>
          <w:p w14:paraId="39E56B5F">
            <w:pPr>
              <w:widowControl w:val="0"/>
              <w:spacing w:line="360" w:lineRule="auto"/>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具备以下条件：</w:t>
            </w:r>
          </w:p>
          <w:p w14:paraId="425D0499">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（1）</w:t>
            </w:r>
            <w:r>
              <w:rPr>
                <w:rStyle w:val="17"/>
                <w:rFonts w:hint="eastAsia" w:ascii="宋体" w:hAnsi="宋体" w:cs="宋体"/>
                <w:b w:val="0"/>
                <w:bCs w:val="0"/>
                <w:color w:val="auto"/>
                <w:spacing w:val="0"/>
                <w:kern w:val="2"/>
                <w:szCs w:val="24"/>
                <w:highlight w:val="none"/>
                <w:lang w:val="en-US" w:eastAsia="zh-CN"/>
              </w:rPr>
              <w:t>具有独立承担民事责任的能力：在中华人民共和国境内注册的法人或其他组织或自然人，投标（响应）时提交有效的营业执照（或事业法人登记证或身份证等相关证明）副本扫描件；</w:t>
            </w:r>
          </w:p>
          <w:p w14:paraId="3D9FD68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（2）</w:t>
            </w:r>
            <w:r>
              <w:rPr>
                <w:rStyle w:val="17"/>
                <w:rFonts w:hint="eastAsia" w:ascii="宋体" w:hAnsi="宋体" w:cs="宋体"/>
                <w:b w:val="0"/>
                <w:bCs w:val="0"/>
                <w:color w:val="auto"/>
                <w:spacing w:val="0"/>
                <w:kern w:val="2"/>
                <w:szCs w:val="24"/>
                <w:highlight w:val="none"/>
                <w:lang w:val="en-US" w:eastAsia="zh-CN"/>
              </w:rPr>
              <w:t>有依法缴纳税收和社会保障资金的良好记录：提供以下两种证明材料之一：1.提供《资格声明函》，具体要求详见采购公告附件；2.提供投标截止日前6个月内任意1个月依法缴纳税收和社会保障资金的相关材料。如依法免税或不需要缴纳社会保障资金的，提供相应证明材料；</w:t>
            </w:r>
          </w:p>
          <w:p w14:paraId="09F92F28">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（3）</w:t>
            </w:r>
            <w:r>
              <w:rPr>
                <w:rStyle w:val="17"/>
                <w:rFonts w:hint="eastAsia" w:ascii="宋体" w:hAnsi="宋体" w:cs="宋体"/>
                <w:b w:val="0"/>
                <w:bCs w:val="0"/>
                <w:color w:val="auto"/>
                <w:spacing w:val="0"/>
                <w:kern w:val="2"/>
                <w:szCs w:val="24"/>
                <w:highlight w:val="none"/>
                <w:lang w:val="en-US" w:eastAsia="zh-CN"/>
              </w:rPr>
              <w:t>具有良好的商业信誉和健全的财务会计制度：供应商必须具有良好的商业信誉和健全的财务会计制度（提供以下三种证明材料之一：1.提供《资格声明函》，具体要求详见响应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p w14:paraId="3DCD8A3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（4）履行合同所必需的设备和专业技术能力：</w:t>
            </w:r>
            <w:r>
              <w:rPr>
                <w:rStyle w:val="17"/>
                <w:rFonts w:hint="eastAsia" w:ascii="宋体" w:hAnsi="宋体" w:cs="宋体"/>
                <w:b w:val="0"/>
                <w:bCs w:val="0"/>
                <w:color w:val="auto"/>
                <w:spacing w:val="0"/>
                <w:kern w:val="2"/>
                <w:szCs w:val="24"/>
                <w:highlight w:val="none"/>
                <w:lang w:val="en-US" w:eastAsia="zh-CN"/>
              </w:rPr>
              <w:t>提供《资格声明函》</w:t>
            </w:r>
            <w:r>
              <w:rPr>
                <w:rStyle w:val="17"/>
                <w:rFonts w:hint="eastAsia" w:ascii="宋体" w:hAnsi="宋体" w:eastAsia="宋体" w:cs="宋体"/>
                <w:b w:val="0"/>
                <w:bCs w:val="0"/>
                <w:color w:val="auto"/>
                <w:spacing w:val="0"/>
                <w:kern w:val="2"/>
                <w:szCs w:val="24"/>
                <w:highlight w:val="none"/>
                <w:lang w:val="en-US" w:eastAsia="zh-CN"/>
              </w:rPr>
              <w:t>；</w:t>
            </w:r>
          </w:p>
          <w:p w14:paraId="0C1BDD5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en-US" w:eastAsia="zh-CN"/>
              </w:rPr>
              <w:t>（5）</w:t>
            </w:r>
            <w:r>
              <w:rPr>
                <w:rStyle w:val="17"/>
                <w:rFonts w:hint="eastAsia" w:ascii="宋体" w:hAnsi="宋体" w:cs="宋体"/>
                <w:b w:val="0"/>
                <w:bCs w:val="0"/>
                <w:color w:val="auto"/>
                <w:spacing w:val="0"/>
                <w:kern w:val="2"/>
                <w:szCs w:val="24"/>
                <w:highlight w:val="none"/>
                <w:lang w:val="en-US" w:eastAsia="zh-CN"/>
              </w:rPr>
              <w:t>参加投标活动前3年内，在经营活动中没有重大违法记录：提供《资格声明函》。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4B06EC4">
            <w:pPr>
              <w:ind w:firstLine="480" w:firstLineChars="200"/>
              <w:rPr>
                <w:rFonts w:hint="eastAsia"/>
                <w:color w:val="auto"/>
                <w:highlight w:val="none"/>
              </w:rPr>
            </w:pPr>
            <w:r>
              <w:rPr>
                <w:rStyle w:val="17"/>
                <w:rFonts w:hint="eastAsia" w:ascii="宋体" w:hAnsi="宋体" w:eastAsia="宋体" w:cs="宋体"/>
                <w:b w:val="0"/>
                <w:bCs w:val="0"/>
                <w:color w:val="auto"/>
                <w:spacing w:val="0"/>
                <w:szCs w:val="24"/>
                <w:highlight w:val="none"/>
                <w:lang w:val="en-US" w:eastAsia="zh-CN"/>
              </w:rPr>
              <w:t>（6）法律、行政法规规定的其他条件。</w:t>
            </w:r>
          </w:p>
        </w:tc>
      </w:tr>
      <w:tr w14:paraId="580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75" w:type="dxa"/>
            <w:noWrap w:val="0"/>
            <w:vAlign w:val="center"/>
          </w:tcPr>
          <w:p w14:paraId="68AE27BE">
            <w:pPr>
              <w:jc w:val="center"/>
              <w:rPr>
                <w:rFonts w:hint="eastAsia" w:eastAsia="宋体"/>
                <w:color w:val="auto"/>
                <w:highlight w:val="none"/>
                <w:lang w:eastAsia="zh-CN"/>
              </w:rPr>
            </w:pPr>
            <w:r>
              <w:rPr>
                <w:rFonts w:hint="eastAsia" w:ascii="Calibri" w:eastAsia="宋体"/>
                <w:color w:val="auto"/>
                <w:highlight w:val="none"/>
                <w:lang w:val="en-US" w:eastAsia="zh-CN"/>
              </w:rPr>
              <w:t>2</w:t>
            </w:r>
          </w:p>
        </w:tc>
        <w:tc>
          <w:tcPr>
            <w:tcW w:w="8631" w:type="dxa"/>
            <w:noWrap w:val="0"/>
            <w:vAlign w:val="center"/>
          </w:tcPr>
          <w:p w14:paraId="00C9EAC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en-US" w:eastAsia="zh-CN" w:bidi="ar-SA"/>
              </w:rPr>
            </w:pPr>
            <w:r>
              <w:rPr>
                <w:rStyle w:val="17"/>
                <w:rFonts w:hint="eastAsia" w:ascii="宋体" w:hAnsi="宋体" w:eastAsia="宋体" w:cs="宋体"/>
                <w:b w:val="0"/>
                <w:bCs w:val="0"/>
                <w:color w:val="auto"/>
                <w:spacing w:val="0"/>
                <w:kern w:val="2"/>
                <w:szCs w:val="24"/>
                <w:highlight w:val="none"/>
                <w:lang w:val="hr-HR" w:eastAsia="zh-CN"/>
              </w:rPr>
              <w:t>供应商未被列入“信用中国”网站(www.creditchina.gov.cr)“记录失信被执行人或重大税收违法失信主体(即原“重大税收违法案件当事人名单”)”记录名单;不处于中国政府采购网(www.ccgp.gov.cn)“政府采购严重违法失信行为信息记录”中的禁止参加政府采购活动期间。(以采购代理机构于投标(响应)截止时间当天在“信用中国”网站(www.cieditchina.gov.cn)及中国政府采购网(http://www.ccgp.gov.cn/)查询结果为准，如相关失信记录已失效供应商需提供相关证明资料)。</w:t>
            </w:r>
          </w:p>
        </w:tc>
      </w:tr>
      <w:tr w14:paraId="464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175" w:type="dxa"/>
            <w:noWrap w:val="0"/>
            <w:vAlign w:val="center"/>
          </w:tcPr>
          <w:p w14:paraId="1F16130F">
            <w:pPr>
              <w:jc w:val="center"/>
              <w:rPr>
                <w:rFonts w:hint="eastAsia" w:eastAsia="宋体"/>
                <w:color w:val="auto"/>
                <w:highlight w:val="none"/>
                <w:lang w:eastAsia="zh-CN"/>
              </w:rPr>
            </w:pPr>
            <w:r>
              <w:rPr>
                <w:rFonts w:hint="eastAsia" w:ascii="Calibri" w:eastAsia="宋体"/>
                <w:color w:val="auto"/>
                <w:highlight w:val="none"/>
                <w:lang w:val="en-US" w:eastAsia="zh-CN"/>
              </w:rPr>
              <w:t>3</w:t>
            </w:r>
          </w:p>
        </w:tc>
        <w:tc>
          <w:tcPr>
            <w:tcW w:w="8631" w:type="dxa"/>
            <w:noWrap w:val="0"/>
            <w:vAlign w:val="center"/>
          </w:tcPr>
          <w:p w14:paraId="3917213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hr-HR" w:eastAsia="zh-CN" w:bidi="ar-SA"/>
              </w:rPr>
            </w:pPr>
            <w:r>
              <w:rPr>
                <w:rStyle w:val="17"/>
                <w:rFonts w:hint="eastAsia" w:ascii="宋体" w:hAnsi="宋体" w:eastAsia="宋体" w:cs="宋体"/>
                <w:b w:val="0"/>
                <w:bCs w:val="0"/>
                <w:color w:val="auto"/>
                <w:spacing w:val="0"/>
                <w:kern w:val="2"/>
                <w:szCs w:val="24"/>
                <w:highlight w:val="none"/>
                <w:lang w:val="hr-HR" w:eastAsia="zh-CN"/>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14:paraId="61D2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175" w:type="dxa"/>
            <w:noWrap w:val="0"/>
            <w:vAlign w:val="center"/>
          </w:tcPr>
          <w:p w14:paraId="66C3913C">
            <w:pPr>
              <w:jc w:val="center"/>
              <w:rPr>
                <w:rFonts w:hint="eastAsia" w:eastAsia="宋体"/>
                <w:color w:val="auto"/>
                <w:highlight w:val="none"/>
                <w:lang w:eastAsia="zh-CN"/>
              </w:rPr>
            </w:pPr>
            <w:r>
              <w:rPr>
                <w:rFonts w:hint="eastAsia" w:ascii="Calibri" w:eastAsia="宋体"/>
                <w:color w:val="auto"/>
                <w:highlight w:val="none"/>
                <w:lang w:val="en-US" w:eastAsia="zh-CN"/>
              </w:rPr>
              <w:t>4</w:t>
            </w:r>
          </w:p>
        </w:tc>
        <w:tc>
          <w:tcPr>
            <w:tcW w:w="8631" w:type="dxa"/>
            <w:noWrap w:val="0"/>
            <w:vAlign w:val="center"/>
          </w:tcPr>
          <w:p w14:paraId="2139CEB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hr-HR" w:eastAsia="zh-CN" w:bidi="ar-SA"/>
              </w:rPr>
            </w:pPr>
            <w:r>
              <w:rPr>
                <w:rStyle w:val="17"/>
                <w:rFonts w:hint="eastAsia" w:ascii="宋体" w:hAnsi="宋体" w:eastAsia="宋体" w:cs="宋体"/>
                <w:b w:val="0"/>
                <w:bCs w:val="0"/>
                <w:color w:val="auto"/>
                <w:spacing w:val="0"/>
                <w:kern w:val="2"/>
                <w:szCs w:val="24"/>
                <w:highlight w:val="none"/>
                <w:lang w:val="hr-HR" w:eastAsia="zh-CN"/>
              </w:rPr>
              <w:t>供应商须具有公安机关颁发的有效的《保安服务许可证》，若供应商为佛山市外的单位，参与本项目还须承诺：如在本项目中标，在开始提供保安服务之前取得服务所在地设区的市级（或以上）公安机关的备案回执。（响应文件中须提交有效的《保安服务许可证》证书复印件及对本条款内容有效承诺的承诺函&lt;格式自拟&gt;）。</w:t>
            </w:r>
          </w:p>
        </w:tc>
      </w:tr>
      <w:tr w14:paraId="6495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5" w:type="dxa"/>
            <w:noWrap w:val="0"/>
            <w:vAlign w:val="center"/>
          </w:tcPr>
          <w:p w14:paraId="062B0321">
            <w:pPr>
              <w:jc w:val="center"/>
              <w:rPr>
                <w:rFonts w:hint="eastAsia"/>
                <w:color w:val="auto"/>
                <w:highlight w:val="none"/>
              </w:rPr>
            </w:pPr>
            <w:r>
              <w:rPr>
                <w:rFonts w:hint="eastAsia" w:ascii="Calibri" w:eastAsia="宋体"/>
                <w:color w:val="auto"/>
                <w:highlight w:val="none"/>
                <w:lang w:val="en-US" w:eastAsia="zh-CN"/>
              </w:rPr>
              <w:t>5</w:t>
            </w:r>
          </w:p>
        </w:tc>
        <w:tc>
          <w:tcPr>
            <w:tcW w:w="8631" w:type="dxa"/>
            <w:noWrap w:val="0"/>
            <w:vAlign w:val="center"/>
          </w:tcPr>
          <w:p w14:paraId="3A9DD59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both"/>
              <w:textAlignment w:val="auto"/>
              <w:rPr>
                <w:rStyle w:val="17"/>
                <w:rFonts w:hint="eastAsia" w:ascii="宋体" w:hAnsi="宋体" w:eastAsia="宋体" w:cs="宋体"/>
                <w:b w:val="0"/>
                <w:bCs w:val="0"/>
                <w:color w:val="auto"/>
                <w:spacing w:val="0"/>
                <w:kern w:val="2"/>
                <w:sz w:val="24"/>
                <w:szCs w:val="24"/>
                <w:highlight w:val="none"/>
                <w:lang w:val="hr-HR" w:eastAsia="zh-CN" w:bidi="ar-SA"/>
              </w:rPr>
            </w:pPr>
            <w:r>
              <w:rPr>
                <w:rStyle w:val="17"/>
                <w:rFonts w:hint="eastAsia" w:ascii="宋体" w:hAnsi="宋体" w:eastAsia="宋体" w:cs="宋体"/>
                <w:b w:val="0"/>
                <w:bCs w:val="0"/>
                <w:color w:val="auto"/>
                <w:spacing w:val="0"/>
                <w:kern w:val="2"/>
                <w:szCs w:val="24"/>
                <w:highlight w:val="none"/>
                <w:lang w:val="hr-HR" w:eastAsia="zh-CN"/>
              </w:rPr>
              <w:t>本项目不接受联合体磋商。</w:t>
            </w:r>
          </w:p>
        </w:tc>
      </w:tr>
      <w:tr w14:paraId="1731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175" w:type="dxa"/>
            <w:noWrap w:val="0"/>
            <w:vAlign w:val="center"/>
          </w:tcPr>
          <w:p w14:paraId="326B4B62">
            <w:pPr>
              <w:jc w:val="center"/>
              <w:rPr>
                <w:rFonts w:hint="default"/>
                <w:color w:val="auto"/>
                <w:highlight w:val="none"/>
                <w:lang w:val="en-US" w:eastAsia="zh-CN"/>
              </w:rPr>
            </w:pPr>
            <w:r>
              <w:rPr>
                <w:rFonts w:hint="eastAsia" w:ascii="Calibri" w:eastAsia="宋体"/>
                <w:color w:val="auto"/>
                <w:highlight w:val="none"/>
                <w:lang w:val="en-US" w:eastAsia="zh-CN"/>
              </w:rPr>
              <w:t>6</w:t>
            </w:r>
          </w:p>
        </w:tc>
        <w:tc>
          <w:tcPr>
            <w:tcW w:w="8631" w:type="dxa"/>
            <w:noWrap w:val="0"/>
            <w:vAlign w:val="center"/>
          </w:tcPr>
          <w:p w14:paraId="24079A2D">
            <w:pPr>
              <w:widowControl w:val="0"/>
              <w:spacing w:line="360" w:lineRule="auto"/>
              <w:ind w:firstLine="480" w:firstLineChars="200"/>
              <w:jc w:val="both"/>
              <w:rPr>
                <w:rStyle w:val="17"/>
                <w:rFonts w:hint="eastAsia" w:ascii="宋体" w:hAnsi="宋体" w:eastAsia="宋体" w:cs="宋体"/>
                <w:b w:val="0"/>
                <w:bCs w:val="0"/>
                <w:color w:val="auto"/>
                <w:spacing w:val="0"/>
                <w:kern w:val="2"/>
                <w:sz w:val="24"/>
                <w:szCs w:val="24"/>
                <w:highlight w:val="none"/>
                <w:lang w:val="hr-HR" w:eastAsia="zh-CN" w:bidi="ar-SA"/>
              </w:rPr>
            </w:pPr>
            <w:r>
              <w:rPr>
                <w:rFonts w:hint="eastAsia" w:ascii="宋体" w:hAnsi="宋体" w:eastAsia="宋体" w:cs="宋体"/>
                <w:i w:val="0"/>
                <w:iCs w:val="0"/>
                <w:caps w:val="0"/>
                <w:smallCaps w:val="0"/>
                <w:color w:val="auto"/>
                <w:spacing w:val="0"/>
                <w:kern w:val="0"/>
                <w:position w:val="0"/>
                <w:sz w:val="24"/>
                <w:szCs w:val="24"/>
                <w:highlight w:val="none"/>
                <w:shd w:val="clear" w:color="auto" w:fill="FFFFFF"/>
                <w:vertAlign w:val="baseline"/>
                <w:lang w:val="en-US" w:eastAsia="zh-CN" w:bidi="ar-SA"/>
              </w:rPr>
              <w:t>本采购包专门面向中小企业采购,供应商应为中小微企业（符合要求的供应商须提供《中小企业声明函》）。</w:t>
            </w:r>
            <w:r>
              <w:rPr>
                <w:rStyle w:val="17"/>
                <w:rFonts w:hint="eastAsia" w:ascii="宋体" w:hAnsi="宋体" w:eastAsia="宋体" w:cs="宋体"/>
                <w:b w:val="0"/>
                <w:bCs w:val="0"/>
                <w:color w:val="auto"/>
                <w:spacing w:val="0"/>
                <w:kern w:val="2"/>
                <w:szCs w:val="24"/>
                <w:highlight w:val="none"/>
                <w:lang w:val="en-US" w:eastAsia="zh-CN"/>
              </w:rPr>
              <w:t>本项目采购标对应的中小企业划分标准所属行业：</w:t>
            </w:r>
            <w:r>
              <w:rPr>
                <w:rStyle w:val="17"/>
                <w:rFonts w:hint="eastAsia" w:ascii="宋体" w:hAnsi="宋体" w:cs="宋体"/>
                <w:b w:val="0"/>
                <w:bCs w:val="0"/>
                <w:color w:val="auto"/>
                <w:spacing w:val="0"/>
                <w:kern w:val="2"/>
                <w:szCs w:val="24"/>
                <w:highlight w:val="none"/>
                <w:lang w:val="en-US" w:eastAsia="zh-CN"/>
              </w:rPr>
              <w:t>租赁和商务服务业</w:t>
            </w:r>
            <w:r>
              <w:rPr>
                <w:rStyle w:val="17"/>
                <w:rFonts w:hint="eastAsia" w:ascii="宋体" w:hAnsi="宋体" w:eastAsia="宋体" w:cs="宋体"/>
                <w:b w:val="0"/>
                <w:bCs w:val="0"/>
                <w:color w:val="auto"/>
                <w:spacing w:val="0"/>
                <w:kern w:val="2"/>
                <w:szCs w:val="24"/>
                <w:highlight w:val="none"/>
                <w:lang w:val="en-US" w:eastAsia="zh-CN"/>
              </w:rPr>
              <w:t>。</w:t>
            </w:r>
          </w:p>
        </w:tc>
      </w:tr>
    </w:tbl>
    <w:p w14:paraId="7CD40EA6">
      <w:pPr>
        <w:rPr>
          <w:rFonts w:hint="eastAsia"/>
          <w:color w:val="auto"/>
          <w:highlight w:val="none"/>
        </w:rPr>
      </w:pPr>
    </w:p>
    <w:p w14:paraId="38E1BFDA">
      <w:pPr>
        <w:rPr>
          <w:rFonts w:hint="eastAsia"/>
          <w:color w:val="auto"/>
          <w:highlight w:val="none"/>
        </w:rPr>
      </w:pPr>
    </w:p>
    <w:p w14:paraId="11F8037F">
      <w:pPr>
        <w:rPr>
          <w:rFonts w:hint="eastAsia"/>
          <w:color w:val="auto"/>
          <w:highlight w:val="none"/>
        </w:rPr>
      </w:pPr>
      <w:r>
        <w:rPr>
          <w:rFonts w:hint="eastAsia"/>
          <w:color w:val="auto"/>
          <w:highlight w:val="none"/>
        </w:rPr>
        <w:br w:type="page"/>
      </w:r>
      <w:r>
        <w:rPr>
          <w:rFonts w:hint="eastAsia"/>
          <w:color w:val="auto"/>
          <w:highlight w:val="none"/>
        </w:rPr>
        <w:t>附表二：</w:t>
      </w:r>
    </w:p>
    <w:p w14:paraId="5B2920F6">
      <w:pPr>
        <w:jc w:val="center"/>
        <w:rPr>
          <w:rFonts w:hint="eastAsia"/>
          <w:b/>
          <w:color w:val="auto"/>
          <w:sz w:val="32"/>
          <w:szCs w:val="32"/>
          <w:highlight w:val="none"/>
        </w:rPr>
      </w:pPr>
      <w:r>
        <w:rPr>
          <w:rFonts w:hint="eastAsia"/>
          <w:b/>
          <w:color w:val="auto"/>
          <w:sz w:val="32"/>
          <w:szCs w:val="32"/>
          <w:highlight w:val="none"/>
        </w:rPr>
        <w:t>符合性审查标准</w:t>
      </w:r>
    </w:p>
    <w:tbl>
      <w:tblPr>
        <w:tblStyle w:val="15"/>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631"/>
      </w:tblGrid>
      <w:tr w14:paraId="05BB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5" w:type="dxa"/>
            <w:noWrap w:val="0"/>
            <w:vAlign w:val="center"/>
          </w:tcPr>
          <w:p w14:paraId="4965886C">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631" w:type="dxa"/>
            <w:noWrap w:val="0"/>
            <w:vAlign w:val="center"/>
          </w:tcPr>
          <w:p w14:paraId="7EBBB8B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评审内容</w:t>
            </w:r>
          </w:p>
        </w:tc>
      </w:tr>
      <w:tr w14:paraId="23F6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75" w:type="dxa"/>
            <w:noWrap w:val="0"/>
            <w:vAlign w:val="center"/>
          </w:tcPr>
          <w:p w14:paraId="61A40F6B">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8631" w:type="dxa"/>
            <w:noWrap w:val="0"/>
            <w:vAlign w:val="center"/>
          </w:tcPr>
          <w:p w14:paraId="05D4A426">
            <w:pPr>
              <w:spacing w:line="360" w:lineRule="auto"/>
              <w:rPr>
                <w:rFonts w:ascii="宋体" w:hAnsi="宋体" w:cs="宋体"/>
                <w:color w:val="auto"/>
                <w:szCs w:val="24"/>
                <w:highlight w:val="none"/>
              </w:rPr>
            </w:pPr>
            <w:r>
              <w:rPr>
                <w:rFonts w:hint="eastAsia" w:ascii="宋体" w:hAnsi="宋体" w:cs="宋体"/>
                <w:color w:val="auto"/>
                <w:szCs w:val="24"/>
                <w:highlight w:val="none"/>
              </w:rPr>
              <w:t>按照</w:t>
            </w:r>
            <w:r>
              <w:rPr>
                <w:rFonts w:hint="eastAsia" w:ascii="宋体" w:hAnsi="宋体" w:cs="宋体"/>
                <w:color w:val="auto"/>
                <w:szCs w:val="24"/>
                <w:highlight w:val="none"/>
                <w:lang w:eastAsia="zh-CN"/>
              </w:rPr>
              <w:t>磋商</w:t>
            </w:r>
            <w:r>
              <w:rPr>
                <w:rFonts w:hint="eastAsia" w:ascii="宋体" w:hAnsi="宋体" w:cs="宋体"/>
                <w:color w:val="auto"/>
                <w:szCs w:val="24"/>
                <w:highlight w:val="none"/>
              </w:rPr>
              <w:t>文件规定要求签署、盖章且</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文件有法定代表人签字或盖章（或签字人有法定代表人有效授权书）的；</w:t>
            </w:r>
          </w:p>
        </w:tc>
      </w:tr>
      <w:tr w14:paraId="05AD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75" w:type="dxa"/>
            <w:noWrap w:val="0"/>
            <w:vAlign w:val="center"/>
          </w:tcPr>
          <w:p w14:paraId="2648EBEB">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2</w:t>
            </w:r>
          </w:p>
        </w:tc>
        <w:tc>
          <w:tcPr>
            <w:tcW w:w="8631" w:type="dxa"/>
            <w:noWrap w:val="0"/>
            <w:vAlign w:val="center"/>
          </w:tcPr>
          <w:p w14:paraId="33448E95">
            <w:pPr>
              <w:spacing w:line="360" w:lineRule="auto"/>
              <w:rPr>
                <w:rFonts w:ascii="宋体" w:hAnsi="宋体" w:cs="宋体"/>
                <w:color w:val="auto"/>
                <w:szCs w:val="24"/>
                <w:highlight w:val="none"/>
              </w:rPr>
            </w:pPr>
            <w:r>
              <w:rPr>
                <w:rFonts w:hint="eastAsia" w:ascii="宋体" w:hAnsi="宋体" w:cs="宋体"/>
                <w:color w:val="auto"/>
                <w:szCs w:val="24"/>
                <w:highlight w:val="none"/>
              </w:rPr>
              <w:t>磋商承诺函已提交并符合竞争性磋商文件要求的；</w:t>
            </w:r>
          </w:p>
        </w:tc>
      </w:tr>
      <w:tr w14:paraId="2662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5" w:type="dxa"/>
            <w:noWrap w:val="0"/>
            <w:vAlign w:val="center"/>
          </w:tcPr>
          <w:p w14:paraId="20F54CC5">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3</w:t>
            </w:r>
          </w:p>
        </w:tc>
        <w:tc>
          <w:tcPr>
            <w:tcW w:w="8631" w:type="dxa"/>
            <w:noWrap w:val="0"/>
            <w:vAlign w:val="center"/>
          </w:tcPr>
          <w:p w14:paraId="394D7C20">
            <w:pPr>
              <w:spacing w:line="360" w:lineRule="auto"/>
              <w:rPr>
                <w:rFonts w:ascii="宋体" w:hAnsi="宋体" w:cs="宋体"/>
                <w:color w:val="auto"/>
                <w:szCs w:val="24"/>
                <w:highlight w:val="none"/>
              </w:rPr>
            </w:pPr>
            <w:r>
              <w:rPr>
                <w:rFonts w:hint="eastAsia" w:ascii="宋体" w:hAnsi="宋体" w:eastAsia="宋体" w:cs="宋体"/>
                <w:color w:val="auto"/>
                <w:szCs w:val="24"/>
                <w:highlight w:val="none"/>
              </w:rPr>
              <w:t>报价不高于</w:t>
            </w:r>
            <w:r>
              <w:rPr>
                <w:rFonts w:hint="eastAsia" w:ascii="宋体" w:hAnsi="宋体" w:eastAsia="宋体" w:cs="宋体"/>
                <w:color w:val="auto"/>
                <w:szCs w:val="24"/>
                <w:highlight w:val="none"/>
                <w:lang w:val="en-US" w:eastAsia="zh-CN"/>
              </w:rPr>
              <w:t>项目最高投标限价；</w:t>
            </w:r>
          </w:p>
        </w:tc>
      </w:tr>
      <w:tr w14:paraId="13D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75" w:type="dxa"/>
            <w:noWrap w:val="0"/>
            <w:vAlign w:val="center"/>
          </w:tcPr>
          <w:p w14:paraId="3458E9DE">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4</w:t>
            </w:r>
          </w:p>
        </w:tc>
        <w:tc>
          <w:tcPr>
            <w:tcW w:w="8631" w:type="dxa"/>
            <w:noWrap w:val="0"/>
            <w:vAlign w:val="center"/>
          </w:tcPr>
          <w:p w14:paraId="28FD1B3C">
            <w:pPr>
              <w:spacing w:line="360" w:lineRule="auto"/>
              <w:rPr>
                <w:rFonts w:ascii="宋体" w:hAnsi="宋体" w:cs="宋体"/>
                <w:color w:val="auto"/>
                <w:szCs w:val="24"/>
                <w:highlight w:val="none"/>
              </w:rPr>
            </w:pPr>
            <w:r>
              <w:rPr>
                <w:rFonts w:hint="eastAsia" w:ascii="宋体" w:hAnsi="宋体" w:cs="宋体"/>
                <w:color w:val="auto"/>
                <w:szCs w:val="24"/>
                <w:highlight w:val="none"/>
              </w:rPr>
              <w:t>响应文件没有竞争性磋商文件中规定的其它无效磋商条款的；</w:t>
            </w:r>
          </w:p>
        </w:tc>
      </w:tr>
      <w:tr w14:paraId="5867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75" w:type="dxa"/>
            <w:noWrap w:val="0"/>
            <w:vAlign w:val="center"/>
          </w:tcPr>
          <w:p w14:paraId="1B1393B6">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5</w:t>
            </w:r>
          </w:p>
        </w:tc>
        <w:tc>
          <w:tcPr>
            <w:tcW w:w="8631" w:type="dxa"/>
            <w:noWrap w:val="0"/>
            <w:vAlign w:val="center"/>
          </w:tcPr>
          <w:p w14:paraId="530FAA11">
            <w:pPr>
              <w:spacing w:line="360" w:lineRule="auto"/>
              <w:rPr>
                <w:rFonts w:ascii="宋体" w:hAnsi="宋体" w:cs="宋体"/>
                <w:color w:val="auto"/>
                <w:szCs w:val="24"/>
                <w:highlight w:val="none"/>
              </w:rPr>
            </w:pPr>
            <w:r>
              <w:rPr>
                <w:rFonts w:hint="eastAsia" w:ascii="宋体" w:hAnsi="宋体" w:cs="宋体"/>
                <w:color w:val="auto"/>
                <w:szCs w:val="24"/>
                <w:highlight w:val="none"/>
              </w:rPr>
              <w:t>按有关法律、法规、规章不属于磋商无效的。</w:t>
            </w:r>
          </w:p>
        </w:tc>
      </w:tr>
    </w:tbl>
    <w:p w14:paraId="3494F0B6">
      <w:pPr>
        <w:rPr>
          <w:rFonts w:hint="eastAsia"/>
          <w:color w:val="auto"/>
          <w:highlight w:val="none"/>
        </w:rPr>
      </w:pPr>
    </w:p>
    <w:p w14:paraId="7E01C4D6">
      <w:pPr>
        <w:numPr>
          <w:ilvl w:val="0"/>
          <w:numId w:val="41"/>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评审方法</w:t>
      </w:r>
    </w:p>
    <w:p w14:paraId="365802B4">
      <w:pPr>
        <w:numPr>
          <w:ilvl w:val="0"/>
          <w:numId w:val="42"/>
        </w:numPr>
        <w:tabs>
          <w:tab w:val="left" w:pos="540"/>
        </w:tabs>
        <w:snapToGrid w:val="0"/>
        <w:spacing w:line="360" w:lineRule="auto"/>
        <w:ind w:left="1021" w:hanging="420"/>
        <w:rPr>
          <w:rFonts w:ascii="宋体" w:hAnsi="宋体"/>
          <w:b/>
          <w:color w:val="auto"/>
          <w:highlight w:val="none"/>
          <w:lang w:val="en-GB"/>
        </w:rPr>
      </w:pPr>
      <w:r>
        <w:rPr>
          <w:rFonts w:hint="eastAsia" w:ascii="宋体" w:hAnsi="宋体"/>
          <w:b/>
          <w:color w:val="auto"/>
          <w:highlight w:val="none"/>
          <w:lang w:val="en-GB"/>
        </w:rPr>
        <w:t>评审方法：综合评分法</w:t>
      </w:r>
    </w:p>
    <w:p w14:paraId="08D7D401">
      <w:pPr>
        <w:numPr>
          <w:ilvl w:val="0"/>
          <w:numId w:val="42"/>
        </w:numPr>
        <w:tabs>
          <w:tab w:val="left" w:pos="540"/>
        </w:tabs>
        <w:snapToGrid w:val="0"/>
        <w:spacing w:line="360" w:lineRule="auto"/>
        <w:ind w:left="1021" w:hanging="420"/>
        <w:rPr>
          <w:rFonts w:hint="eastAsia" w:ascii="宋体" w:hAnsi="宋体"/>
          <w:color w:val="auto"/>
          <w:highlight w:val="none"/>
          <w:lang w:val="en-GB"/>
        </w:rPr>
      </w:pPr>
      <w:r>
        <w:rPr>
          <w:rFonts w:hint="eastAsia" w:ascii="宋体" w:hAnsi="宋体"/>
          <w:color w:val="auto"/>
          <w:highlight w:val="none"/>
          <w:lang w:val="en-GB"/>
        </w:rPr>
        <w:t>评审小组将严格按照本竞争性磋商文件的评审标准与方法，在符合有效磋商范畴且最大限度地满足竞争性磋商文件实质性要求前提下，对供应商进行综合评审和独立评分。评审因素评分以该项“满分值”或“分值”为上限，“0”分为下限。如供应商未能按评审标准中的要求提供相关证明材料的，不能获取相应分值。</w:t>
      </w:r>
    </w:p>
    <w:p w14:paraId="6ACA9F68">
      <w:pPr>
        <w:numPr>
          <w:ilvl w:val="0"/>
          <w:numId w:val="42"/>
        </w:numPr>
        <w:tabs>
          <w:tab w:val="left" w:pos="540"/>
        </w:tabs>
        <w:snapToGrid w:val="0"/>
        <w:spacing w:line="360" w:lineRule="auto"/>
        <w:ind w:left="1021" w:hanging="420"/>
        <w:rPr>
          <w:rFonts w:ascii="宋体" w:hAnsi="宋体"/>
          <w:color w:val="auto"/>
          <w:highlight w:val="none"/>
          <w:lang w:val="en-GB"/>
        </w:rPr>
      </w:pPr>
      <w:r>
        <w:rPr>
          <w:rFonts w:hint="eastAsia" w:ascii="宋体" w:hAnsi="宋体"/>
          <w:color w:val="auto"/>
          <w:highlight w:val="none"/>
          <w:lang w:val="en-GB"/>
        </w:rPr>
        <w:t>本项目的分值构成：</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6207"/>
      </w:tblGrid>
      <w:tr w14:paraId="264C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307" w:type="dxa"/>
            <w:shd w:val="clear" w:color="auto" w:fill="A4A4A4"/>
            <w:noWrap w:val="0"/>
            <w:vAlign w:val="top"/>
          </w:tcPr>
          <w:p w14:paraId="5ECF0A94">
            <w:pPr>
              <w:spacing w:line="288" w:lineRule="auto"/>
              <w:jc w:val="center"/>
              <w:rPr>
                <w:rFonts w:hint="eastAsia"/>
                <w:b/>
                <w:color w:val="auto"/>
                <w:highlight w:val="none"/>
              </w:rPr>
            </w:pPr>
            <w:r>
              <w:rPr>
                <w:rFonts w:hint="eastAsia"/>
                <w:b/>
                <w:color w:val="auto"/>
                <w:highlight w:val="none"/>
              </w:rPr>
              <w:t>评审部分</w:t>
            </w:r>
          </w:p>
        </w:tc>
        <w:tc>
          <w:tcPr>
            <w:tcW w:w="6207" w:type="dxa"/>
            <w:shd w:val="clear" w:color="auto" w:fill="A4A4A4"/>
            <w:noWrap w:val="0"/>
            <w:vAlign w:val="top"/>
          </w:tcPr>
          <w:p w14:paraId="068A98E8">
            <w:pPr>
              <w:spacing w:line="288" w:lineRule="auto"/>
              <w:jc w:val="center"/>
              <w:rPr>
                <w:rFonts w:hint="eastAsia"/>
                <w:b/>
                <w:color w:val="auto"/>
                <w:highlight w:val="none"/>
              </w:rPr>
            </w:pPr>
            <w:r>
              <w:rPr>
                <w:rFonts w:hint="eastAsia"/>
                <w:b/>
                <w:color w:val="auto"/>
                <w:highlight w:val="none"/>
              </w:rPr>
              <w:t>分值</w:t>
            </w:r>
          </w:p>
        </w:tc>
      </w:tr>
      <w:tr w14:paraId="141B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307" w:type="dxa"/>
            <w:noWrap w:val="0"/>
            <w:vAlign w:val="top"/>
          </w:tcPr>
          <w:p w14:paraId="02694AE5">
            <w:pPr>
              <w:spacing w:line="288" w:lineRule="auto"/>
              <w:jc w:val="center"/>
              <w:rPr>
                <w:rFonts w:hint="eastAsia"/>
                <w:color w:val="auto"/>
                <w:highlight w:val="none"/>
              </w:rPr>
            </w:pPr>
            <w:r>
              <w:rPr>
                <w:rFonts w:hint="eastAsia"/>
                <w:b/>
                <w:color w:val="auto"/>
                <w:highlight w:val="none"/>
              </w:rPr>
              <w:t>技术部分</w:t>
            </w:r>
          </w:p>
        </w:tc>
        <w:tc>
          <w:tcPr>
            <w:tcW w:w="6207" w:type="dxa"/>
            <w:noWrap w:val="0"/>
            <w:vAlign w:val="top"/>
          </w:tcPr>
          <w:p w14:paraId="290CEEEA">
            <w:pPr>
              <w:spacing w:line="288" w:lineRule="auto"/>
              <w:jc w:val="center"/>
              <w:rPr>
                <w:rFonts w:hint="default" w:eastAsia="宋体"/>
                <w:color w:val="auto"/>
                <w:highlight w:val="none"/>
                <w:lang w:val="en-US" w:eastAsia="zh-CN"/>
              </w:rPr>
            </w:pPr>
            <w:r>
              <w:rPr>
                <w:rFonts w:hint="eastAsia" w:ascii="宋体" w:hAnsi="宋体" w:cs="宋体"/>
                <w:color w:val="auto"/>
                <w:highlight w:val="none"/>
                <w:lang w:val="en-US" w:eastAsia="zh-CN"/>
              </w:rPr>
              <w:t>50</w:t>
            </w:r>
          </w:p>
        </w:tc>
      </w:tr>
      <w:tr w14:paraId="71CF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top"/>
          </w:tcPr>
          <w:p w14:paraId="112053D8">
            <w:pPr>
              <w:spacing w:line="288" w:lineRule="auto"/>
              <w:jc w:val="center"/>
              <w:rPr>
                <w:rFonts w:hint="eastAsia"/>
                <w:color w:val="auto"/>
                <w:highlight w:val="none"/>
              </w:rPr>
            </w:pPr>
            <w:r>
              <w:rPr>
                <w:rFonts w:hint="eastAsia"/>
                <w:b/>
                <w:color w:val="auto"/>
                <w:highlight w:val="none"/>
              </w:rPr>
              <w:t>商务部分</w:t>
            </w:r>
          </w:p>
        </w:tc>
        <w:tc>
          <w:tcPr>
            <w:tcW w:w="6207" w:type="dxa"/>
            <w:noWrap w:val="0"/>
            <w:vAlign w:val="top"/>
          </w:tcPr>
          <w:p w14:paraId="2A7C8FA2">
            <w:pPr>
              <w:spacing w:line="288" w:lineRule="auto"/>
              <w:jc w:val="center"/>
              <w:rPr>
                <w:rFonts w:hint="default" w:eastAsia="宋体"/>
                <w:color w:val="auto"/>
                <w:highlight w:val="none"/>
                <w:lang w:val="en-US" w:eastAsia="zh-CN"/>
              </w:rPr>
            </w:pPr>
            <w:r>
              <w:rPr>
                <w:rFonts w:hint="eastAsia" w:ascii="宋体" w:hAnsi="宋体" w:cs="宋体"/>
                <w:color w:val="auto"/>
                <w:highlight w:val="none"/>
                <w:lang w:val="en-US" w:eastAsia="zh-CN"/>
              </w:rPr>
              <w:t>40</w:t>
            </w:r>
          </w:p>
        </w:tc>
      </w:tr>
      <w:tr w14:paraId="625A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top"/>
          </w:tcPr>
          <w:p w14:paraId="01FB5681">
            <w:pPr>
              <w:spacing w:line="288" w:lineRule="auto"/>
              <w:jc w:val="center"/>
              <w:rPr>
                <w:rFonts w:hint="eastAsia"/>
                <w:color w:val="auto"/>
                <w:highlight w:val="none"/>
              </w:rPr>
            </w:pPr>
            <w:r>
              <w:rPr>
                <w:rFonts w:hint="eastAsia"/>
                <w:b/>
                <w:color w:val="auto"/>
                <w:highlight w:val="none"/>
              </w:rPr>
              <w:t>价格部分</w:t>
            </w:r>
          </w:p>
        </w:tc>
        <w:tc>
          <w:tcPr>
            <w:tcW w:w="6207" w:type="dxa"/>
            <w:noWrap w:val="0"/>
            <w:vAlign w:val="top"/>
          </w:tcPr>
          <w:p w14:paraId="514F5D1C">
            <w:pPr>
              <w:spacing w:line="288" w:lineRule="auto"/>
              <w:jc w:val="center"/>
              <w:rPr>
                <w:rFonts w:hint="default" w:ascii="宋体" w:hAnsi="宋体" w:eastAsia="宋体"/>
                <w:color w:val="auto"/>
                <w:highlight w:val="none"/>
                <w:lang w:val="en-US" w:eastAsia="zh-CN"/>
              </w:rPr>
            </w:pPr>
            <w:r>
              <w:rPr>
                <w:rFonts w:hint="eastAsia" w:ascii="宋体" w:hAnsi="宋体" w:cs="宋体"/>
                <w:color w:val="auto"/>
                <w:highlight w:val="none"/>
                <w:lang w:val="en-US" w:eastAsia="zh-CN"/>
              </w:rPr>
              <w:t>10</w:t>
            </w:r>
          </w:p>
        </w:tc>
      </w:tr>
    </w:tbl>
    <w:p w14:paraId="4A9542BA">
      <w:pPr>
        <w:numPr>
          <w:ilvl w:val="0"/>
          <w:numId w:val="42"/>
        </w:numPr>
        <w:tabs>
          <w:tab w:val="left" w:pos="540"/>
        </w:tabs>
        <w:snapToGrid w:val="0"/>
        <w:spacing w:line="360" w:lineRule="auto"/>
        <w:ind w:left="1021" w:hanging="420"/>
        <w:rPr>
          <w:rFonts w:ascii="宋体" w:hAnsi="宋体"/>
          <w:color w:val="auto"/>
          <w:highlight w:val="none"/>
          <w:lang w:val="en-GB"/>
        </w:rPr>
      </w:pPr>
      <w:r>
        <w:rPr>
          <w:rFonts w:hint="eastAsia" w:ascii="宋体" w:hAnsi="宋体"/>
          <w:color w:val="auto"/>
          <w:highlight w:val="none"/>
          <w:lang w:val="en-GB"/>
        </w:rPr>
        <w:t>评审部分得分及评分汇总：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6207"/>
      </w:tblGrid>
      <w:tr w14:paraId="7C02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307" w:type="dxa"/>
            <w:shd w:val="clear" w:color="auto" w:fill="A4A4A4"/>
            <w:noWrap w:val="0"/>
            <w:vAlign w:val="top"/>
          </w:tcPr>
          <w:p w14:paraId="2BE279E6">
            <w:pPr>
              <w:spacing w:line="288" w:lineRule="auto"/>
              <w:jc w:val="center"/>
              <w:rPr>
                <w:rFonts w:hint="eastAsia"/>
                <w:b/>
                <w:color w:val="auto"/>
                <w:highlight w:val="none"/>
              </w:rPr>
            </w:pPr>
            <w:r>
              <w:rPr>
                <w:rFonts w:hint="eastAsia"/>
                <w:b/>
                <w:color w:val="auto"/>
                <w:highlight w:val="none"/>
              </w:rPr>
              <w:t>评审部分得分</w:t>
            </w:r>
          </w:p>
        </w:tc>
        <w:tc>
          <w:tcPr>
            <w:tcW w:w="6207" w:type="dxa"/>
            <w:shd w:val="clear" w:color="auto" w:fill="A4A4A4"/>
            <w:noWrap w:val="0"/>
            <w:vAlign w:val="top"/>
          </w:tcPr>
          <w:p w14:paraId="200F7B0C">
            <w:pPr>
              <w:spacing w:line="288" w:lineRule="auto"/>
              <w:jc w:val="center"/>
              <w:rPr>
                <w:rFonts w:hint="eastAsia"/>
                <w:b/>
                <w:color w:val="auto"/>
                <w:highlight w:val="none"/>
              </w:rPr>
            </w:pPr>
            <w:r>
              <w:rPr>
                <w:rFonts w:hint="eastAsia"/>
                <w:b/>
                <w:color w:val="auto"/>
                <w:highlight w:val="none"/>
              </w:rPr>
              <w:t>得分计算方式</w:t>
            </w:r>
          </w:p>
        </w:tc>
      </w:tr>
      <w:tr w14:paraId="0A2A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center"/>
          </w:tcPr>
          <w:p w14:paraId="684FF5A7">
            <w:pPr>
              <w:spacing w:line="288" w:lineRule="auto"/>
              <w:jc w:val="center"/>
              <w:rPr>
                <w:rFonts w:hint="eastAsia"/>
                <w:color w:val="auto"/>
                <w:highlight w:val="none"/>
              </w:rPr>
            </w:pPr>
            <w:r>
              <w:rPr>
                <w:rFonts w:hint="eastAsia"/>
                <w:b/>
                <w:color w:val="auto"/>
                <w:highlight w:val="none"/>
              </w:rPr>
              <w:t>技术部分得分</w:t>
            </w:r>
          </w:p>
        </w:tc>
        <w:tc>
          <w:tcPr>
            <w:tcW w:w="6207" w:type="dxa"/>
            <w:noWrap w:val="0"/>
            <w:vAlign w:val="top"/>
          </w:tcPr>
          <w:p w14:paraId="0BA84DBB">
            <w:pPr>
              <w:spacing w:line="288" w:lineRule="auto"/>
              <w:jc w:val="center"/>
              <w:rPr>
                <w:rFonts w:hint="eastAsia"/>
                <w:color w:val="auto"/>
                <w:highlight w:val="none"/>
              </w:rPr>
            </w:pPr>
            <w:r>
              <w:rPr>
                <w:rFonts w:hint="eastAsia" w:ascii="宋体" w:hAnsi="宋体"/>
                <w:color w:val="auto"/>
                <w:highlight w:val="none"/>
                <w:lang w:val="en-GB"/>
              </w:rPr>
              <w:t>各评委评分总和÷评委人数</w:t>
            </w:r>
          </w:p>
        </w:tc>
      </w:tr>
      <w:tr w14:paraId="665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center"/>
          </w:tcPr>
          <w:p w14:paraId="5994DB13">
            <w:pPr>
              <w:spacing w:line="288" w:lineRule="auto"/>
              <w:jc w:val="center"/>
              <w:rPr>
                <w:rFonts w:hint="eastAsia"/>
                <w:color w:val="auto"/>
                <w:highlight w:val="none"/>
              </w:rPr>
            </w:pPr>
            <w:r>
              <w:rPr>
                <w:rFonts w:hint="eastAsia"/>
                <w:b/>
                <w:color w:val="auto"/>
                <w:highlight w:val="none"/>
              </w:rPr>
              <w:t>商务部分得分</w:t>
            </w:r>
          </w:p>
        </w:tc>
        <w:tc>
          <w:tcPr>
            <w:tcW w:w="6207" w:type="dxa"/>
            <w:noWrap w:val="0"/>
            <w:vAlign w:val="top"/>
          </w:tcPr>
          <w:p w14:paraId="6F5AC5B4">
            <w:pPr>
              <w:spacing w:line="288" w:lineRule="auto"/>
              <w:jc w:val="center"/>
              <w:rPr>
                <w:rFonts w:hint="eastAsia"/>
                <w:color w:val="auto"/>
                <w:highlight w:val="none"/>
              </w:rPr>
            </w:pPr>
            <w:r>
              <w:rPr>
                <w:rFonts w:hint="eastAsia" w:ascii="宋体" w:hAnsi="宋体"/>
                <w:color w:val="auto"/>
                <w:highlight w:val="none"/>
                <w:lang w:val="en-GB"/>
              </w:rPr>
              <w:t>各评委评分总和÷评委人数</w:t>
            </w:r>
          </w:p>
        </w:tc>
      </w:tr>
      <w:tr w14:paraId="4899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center"/>
          </w:tcPr>
          <w:p w14:paraId="36BF2419">
            <w:pPr>
              <w:spacing w:line="288" w:lineRule="auto"/>
              <w:jc w:val="center"/>
              <w:rPr>
                <w:rFonts w:hint="eastAsia"/>
                <w:color w:val="auto"/>
                <w:highlight w:val="none"/>
              </w:rPr>
            </w:pPr>
            <w:r>
              <w:rPr>
                <w:rFonts w:hint="eastAsia"/>
                <w:b/>
                <w:color w:val="auto"/>
                <w:highlight w:val="none"/>
              </w:rPr>
              <w:t>价格部分得分</w:t>
            </w:r>
          </w:p>
        </w:tc>
        <w:tc>
          <w:tcPr>
            <w:tcW w:w="6207" w:type="dxa"/>
            <w:noWrap w:val="0"/>
            <w:vAlign w:val="top"/>
          </w:tcPr>
          <w:p w14:paraId="26C00B5C">
            <w:pPr>
              <w:spacing w:line="288" w:lineRule="auto"/>
              <w:jc w:val="center"/>
              <w:rPr>
                <w:rFonts w:hint="eastAsia" w:ascii="宋体" w:hAnsi="宋体"/>
                <w:color w:val="auto"/>
                <w:highlight w:val="none"/>
              </w:rPr>
            </w:pPr>
            <w:r>
              <w:rPr>
                <w:rFonts w:hint="eastAsia" w:ascii="宋体" w:hAnsi="宋体"/>
                <w:color w:val="auto"/>
                <w:highlight w:val="none"/>
                <w:lang w:val="en-GB"/>
              </w:rPr>
              <w:t>按统一公式计算得分</w:t>
            </w:r>
          </w:p>
        </w:tc>
      </w:tr>
      <w:tr w14:paraId="30B3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07" w:type="dxa"/>
            <w:noWrap w:val="0"/>
            <w:vAlign w:val="center"/>
          </w:tcPr>
          <w:p w14:paraId="23423693">
            <w:pPr>
              <w:spacing w:line="288" w:lineRule="auto"/>
              <w:jc w:val="center"/>
              <w:rPr>
                <w:rFonts w:hint="eastAsia"/>
                <w:b/>
                <w:color w:val="auto"/>
                <w:highlight w:val="none"/>
              </w:rPr>
            </w:pPr>
            <w:r>
              <w:rPr>
                <w:rFonts w:hint="eastAsia" w:ascii="宋体" w:hAnsi="宋体"/>
                <w:b/>
                <w:color w:val="auto"/>
                <w:highlight w:val="none"/>
                <w:lang w:val="en-GB"/>
              </w:rPr>
              <w:t>评标总得分</w:t>
            </w:r>
          </w:p>
        </w:tc>
        <w:tc>
          <w:tcPr>
            <w:tcW w:w="6207" w:type="dxa"/>
            <w:noWrap w:val="0"/>
            <w:vAlign w:val="top"/>
          </w:tcPr>
          <w:p w14:paraId="4B205A98">
            <w:pPr>
              <w:spacing w:line="288" w:lineRule="auto"/>
              <w:jc w:val="center"/>
              <w:rPr>
                <w:rFonts w:hint="eastAsia" w:ascii="宋体" w:hAnsi="宋体"/>
                <w:color w:val="auto"/>
                <w:highlight w:val="none"/>
                <w:lang w:val="en-GB"/>
              </w:rPr>
            </w:pPr>
            <w:r>
              <w:rPr>
                <w:rFonts w:hint="eastAsia" w:ascii="宋体" w:hAnsi="宋体"/>
                <w:color w:val="auto"/>
                <w:highlight w:val="none"/>
                <w:lang w:val="en-GB"/>
              </w:rPr>
              <w:t>技术部分得分＋商务部分得分＋价格部分得分</w:t>
            </w:r>
          </w:p>
        </w:tc>
      </w:tr>
      <w:tr w14:paraId="05A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14" w:type="dxa"/>
            <w:gridSpan w:val="2"/>
            <w:noWrap w:val="0"/>
            <w:vAlign w:val="center"/>
          </w:tcPr>
          <w:p w14:paraId="0133803F">
            <w:pPr>
              <w:spacing w:line="288" w:lineRule="auto"/>
              <w:rPr>
                <w:rFonts w:hint="eastAsia" w:ascii="宋体" w:hAnsi="宋体"/>
                <w:color w:val="auto"/>
                <w:highlight w:val="none"/>
                <w:lang w:val="en-GB"/>
              </w:rPr>
            </w:pPr>
            <w:r>
              <w:rPr>
                <w:rFonts w:ascii="宋体" w:hAnsi="宋体"/>
                <w:color w:val="auto"/>
                <w:highlight w:val="none"/>
                <w:lang w:val="en-GB"/>
              </w:rPr>
              <w:t>注：</w:t>
            </w:r>
            <w:r>
              <w:rPr>
                <w:rFonts w:hint="eastAsia" w:ascii="宋体" w:hAnsi="宋体"/>
                <w:color w:val="auto"/>
                <w:highlight w:val="none"/>
                <w:lang w:val="en-GB"/>
              </w:rPr>
              <w:t>评委评分时可打至小数后第二位，汇总计算时将按四舍五入的原则精确至小数点后两位，如</w:t>
            </w:r>
            <w:r>
              <w:rPr>
                <w:rFonts w:ascii="宋体" w:hAnsi="宋体"/>
                <w:color w:val="auto"/>
                <w:highlight w:val="none"/>
                <w:lang w:val="en-GB"/>
              </w:rPr>
              <w:t>9.99</w:t>
            </w:r>
            <w:r>
              <w:rPr>
                <w:rFonts w:hint="eastAsia" w:ascii="宋体" w:hAnsi="宋体"/>
                <w:color w:val="auto"/>
                <w:highlight w:val="none"/>
                <w:lang w:val="en-GB"/>
              </w:rPr>
              <w:t>。</w:t>
            </w:r>
          </w:p>
        </w:tc>
      </w:tr>
    </w:tbl>
    <w:p w14:paraId="49F12F96">
      <w:pPr>
        <w:tabs>
          <w:tab w:val="left" w:pos="540"/>
        </w:tabs>
        <w:snapToGrid w:val="0"/>
        <w:spacing w:line="360" w:lineRule="auto"/>
        <w:ind w:left="510"/>
        <w:rPr>
          <w:rFonts w:hint="eastAsia" w:ascii="宋体" w:hAnsi="宋体"/>
          <w:color w:val="auto"/>
          <w:highlight w:val="none"/>
          <w:lang w:val="en-GB"/>
        </w:rPr>
      </w:pPr>
    </w:p>
    <w:p w14:paraId="730EC3D3">
      <w:pPr>
        <w:numPr>
          <w:ilvl w:val="0"/>
          <w:numId w:val="41"/>
        </w:numPr>
        <w:ind w:left="510" w:hanging="510"/>
        <w:rPr>
          <w:rFonts w:hint="eastAsia" w:ascii="宋体" w:hAnsi="宋体"/>
          <w:b/>
          <w:color w:val="auto"/>
          <w:highlight w:val="none"/>
          <w:lang w:val="en-GB"/>
        </w:rPr>
      </w:pPr>
      <w:r>
        <w:rPr>
          <w:rFonts w:hint="eastAsia" w:ascii="宋体" w:hAnsi="宋体"/>
          <w:b/>
          <w:color w:val="auto"/>
          <w:highlight w:val="none"/>
          <w:lang w:val="en-GB"/>
        </w:rPr>
        <w:t>评审标准</w:t>
      </w:r>
    </w:p>
    <w:p w14:paraId="3DDB3CCC">
      <w:pPr>
        <w:numPr>
          <w:ilvl w:val="0"/>
          <w:numId w:val="43"/>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技术部分评审标准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30"/>
        <w:gridCol w:w="817"/>
        <w:gridCol w:w="5261"/>
      </w:tblGrid>
      <w:tr w14:paraId="2A5E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400" w:type="dxa"/>
            <w:gridSpan w:val="4"/>
            <w:shd w:val="clear" w:color="auto" w:fill="A4A4A4"/>
            <w:noWrap w:val="0"/>
            <w:vAlign w:val="center"/>
          </w:tcPr>
          <w:p w14:paraId="6DD72319">
            <w:pPr>
              <w:jc w:val="center"/>
              <w:rPr>
                <w:rFonts w:hint="eastAsia" w:ascii="宋体" w:hAnsi="宋体" w:cs="宋体"/>
                <w:color w:val="auto"/>
                <w:szCs w:val="24"/>
                <w:highlight w:val="none"/>
              </w:rPr>
            </w:pPr>
            <w:r>
              <w:rPr>
                <w:rFonts w:hint="eastAsia" w:ascii="宋体" w:hAnsi="宋体" w:cs="宋体"/>
                <w:color w:val="auto"/>
                <w:kern w:val="0"/>
                <w:szCs w:val="24"/>
                <w:highlight w:val="none"/>
              </w:rPr>
              <w:t>技术部分（</w:t>
            </w:r>
            <w:r>
              <w:rPr>
                <w:rFonts w:hint="eastAsia" w:ascii="宋体" w:hAnsi="宋体" w:cs="宋体"/>
                <w:color w:val="auto"/>
                <w:kern w:val="0"/>
                <w:szCs w:val="24"/>
                <w:highlight w:val="none"/>
                <w:lang w:val="en-US" w:eastAsia="zh-CN"/>
              </w:rPr>
              <w:t>50</w:t>
            </w:r>
            <w:r>
              <w:rPr>
                <w:rFonts w:hint="eastAsia" w:ascii="宋体" w:hAnsi="宋体" w:cs="宋体"/>
                <w:color w:val="auto"/>
                <w:kern w:val="0"/>
                <w:szCs w:val="24"/>
                <w:highlight w:val="none"/>
              </w:rPr>
              <w:t>）</w:t>
            </w:r>
          </w:p>
        </w:tc>
      </w:tr>
      <w:tr w14:paraId="62D0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22" w:type="dxa"/>
            <w:gridSpan w:val="2"/>
            <w:shd w:val="clear" w:color="auto" w:fill="A4A4A4"/>
            <w:noWrap w:val="0"/>
            <w:vAlign w:val="center"/>
          </w:tcPr>
          <w:p w14:paraId="5980FCA0">
            <w:pPr>
              <w:jc w:val="center"/>
              <w:rPr>
                <w:rFonts w:hint="eastAsia" w:ascii="宋体" w:hAnsi="宋体" w:cs="宋体"/>
                <w:color w:val="auto"/>
                <w:szCs w:val="24"/>
                <w:highlight w:val="none"/>
              </w:rPr>
            </w:pPr>
            <w:r>
              <w:rPr>
                <w:rFonts w:hint="eastAsia" w:ascii="宋体" w:hAnsi="宋体" w:cs="宋体"/>
                <w:color w:val="auto"/>
                <w:szCs w:val="24"/>
                <w:highlight w:val="none"/>
              </w:rPr>
              <w:t>技术评审子项</w:t>
            </w:r>
          </w:p>
        </w:tc>
        <w:tc>
          <w:tcPr>
            <w:tcW w:w="817" w:type="dxa"/>
            <w:shd w:val="clear" w:color="auto" w:fill="A4A4A4"/>
            <w:noWrap w:val="0"/>
            <w:vAlign w:val="center"/>
          </w:tcPr>
          <w:p w14:paraId="7805E423">
            <w:pPr>
              <w:jc w:val="center"/>
              <w:rPr>
                <w:rFonts w:hint="eastAsia" w:ascii="宋体" w:hAnsi="宋体" w:cs="宋体"/>
                <w:color w:val="auto"/>
                <w:szCs w:val="24"/>
                <w:highlight w:val="none"/>
              </w:rPr>
            </w:pPr>
            <w:r>
              <w:rPr>
                <w:rFonts w:hint="eastAsia" w:ascii="宋体" w:hAnsi="宋体" w:cs="宋体"/>
                <w:color w:val="auto"/>
                <w:szCs w:val="24"/>
                <w:highlight w:val="none"/>
              </w:rPr>
              <w:t>分值</w:t>
            </w:r>
          </w:p>
        </w:tc>
        <w:tc>
          <w:tcPr>
            <w:tcW w:w="5261" w:type="dxa"/>
            <w:shd w:val="clear" w:color="auto" w:fill="A4A4A4"/>
            <w:noWrap w:val="0"/>
            <w:vAlign w:val="center"/>
          </w:tcPr>
          <w:p w14:paraId="52428AEC">
            <w:pPr>
              <w:jc w:val="center"/>
              <w:rPr>
                <w:rFonts w:hint="eastAsia" w:ascii="宋体" w:hAnsi="宋体" w:cs="宋体"/>
                <w:color w:val="auto"/>
                <w:szCs w:val="24"/>
                <w:highlight w:val="none"/>
              </w:rPr>
            </w:pPr>
            <w:r>
              <w:rPr>
                <w:rFonts w:hint="eastAsia" w:ascii="宋体" w:hAnsi="宋体" w:cs="宋体"/>
                <w:color w:val="auto"/>
                <w:szCs w:val="24"/>
                <w:highlight w:val="none"/>
              </w:rPr>
              <w:t>分标准和指引</w:t>
            </w:r>
          </w:p>
        </w:tc>
      </w:tr>
      <w:tr w14:paraId="5A1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492" w:type="dxa"/>
            <w:noWrap w:val="0"/>
            <w:vAlign w:val="center"/>
          </w:tcPr>
          <w:p w14:paraId="1456D0E6">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2830" w:type="dxa"/>
            <w:noWrap w:val="0"/>
            <w:vAlign w:val="center"/>
          </w:tcPr>
          <w:p w14:paraId="73877023">
            <w:pPr>
              <w:spacing w:line="360" w:lineRule="auto"/>
              <w:jc w:val="center"/>
              <w:rPr>
                <w:rFonts w:hint="default" w:ascii="宋体" w:hAnsi="宋体" w:cs="宋体"/>
                <w:kern w:val="2"/>
                <w:sz w:val="24"/>
                <w:szCs w:val="24"/>
                <w:highlight w:val="none"/>
                <w:lang w:val="en-US" w:eastAsia="zh-CN" w:bidi="ar-SA"/>
              </w:rPr>
            </w:pPr>
            <w:r>
              <w:rPr>
                <w:rFonts w:hint="eastAsia" w:ascii="宋体" w:hAnsi="宋体" w:cs="宋体"/>
                <w:szCs w:val="24"/>
                <w:highlight w:val="none"/>
                <w:lang w:val="en-US" w:eastAsia="zh-CN"/>
              </w:rPr>
              <w:t>项目实施方案</w:t>
            </w:r>
          </w:p>
        </w:tc>
        <w:tc>
          <w:tcPr>
            <w:tcW w:w="817" w:type="dxa"/>
            <w:noWrap w:val="0"/>
            <w:vAlign w:val="center"/>
          </w:tcPr>
          <w:p w14:paraId="1289FFB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1" w:type="dxa"/>
            <w:noWrap w:val="0"/>
            <w:vAlign w:val="center"/>
          </w:tcPr>
          <w:p w14:paraId="2FD503AA">
            <w:pPr>
              <w:spacing w:line="360" w:lineRule="auto"/>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对供应商的项目实施方案进行评审：</w:t>
            </w:r>
          </w:p>
          <w:p w14:paraId="4A8DCBBE">
            <w:pPr>
              <w:numPr>
                <w:ilvl w:val="0"/>
                <w:numId w:val="0"/>
              </w:numPr>
              <w:spacing w:line="360" w:lineRule="auto"/>
              <w:rPr>
                <w:rFonts w:hint="eastAsia" w:ascii="宋体" w:hAnsi="宋体" w:eastAsia="宋体" w:cs="Times New Roman"/>
                <w:b/>
                <w:bCs/>
                <w:kern w:val="0"/>
                <w:sz w:val="24"/>
                <w:szCs w:val="21"/>
                <w:highlight w:val="none"/>
                <w:lang w:val="en-US" w:eastAsia="zh-CN" w:bidi="ar-SA"/>
              </w:rPr>
            </w:pPr>
            <w:r>
              <w:rPr>
                <w:rFonts w:hint="eastAsia" w:ascii="宋体" w:hAnsi="宋体" w:cs="宋体"/>
                <w:color w:val="000000"/>
                <w:highlight w:val="none"/>
                <w:lang w:val="en-US" w:eastAsia="zh-CN"/>
              </w:rPr>
              <w:t>1、</w:t>
            </w:r>
            <w:r>
              <w:rPr>
                <w:rFonts w:hint="eastAsia" w:ascii="宋体" w:hAnsi="宋体" w:cs="宋体"/>
                <w:color w:val="000000"/>
                <w:highlight w:val="none"/>
              </w:rPr>
              <w:t>项目实施</w:t>
            </w:r>
            <w:r>
              <w:rPr>
                <w:rFonts w:hint="eastAsia" w:ascii="宋体" w:hAnsi="宋体" w:cs="宋体"/>
                <w:color w:val="000000"/>
                <w:highlight w:val="none"/>
                <w:lang w:val="en-US" w:eastAsia="zh-CN"/>
              </w:rPr>
              <w:t>方案</w:t>
            </w:r>
            <w:r>
              <w:rPr>
                <w:rFonts w:hint="eastAsia" w:ascii="宋体" w:hAnsi="宋体" w:cs="宋体"/>
                <w:color w:val="000000"/>
                <w:highlight w:val="none"/>
              </w:rPr>
              <w:t>详细具体，具有可行性，完全满足采购需求的，得10分;</w:t>
            </w:r>
            <w:r>
              <w:rPr>
                <w:rFonts w:hint="eastAsia" w:ascii="宋体" w:hAnsi="宋体" w:cs="宋体"/>
                <w:color w:val="000000"/>
                <w:highlight w:val="none"/>
                <w:lang w:val="en-US" w:eastAsia="zh-CN"/>
              </w:rPr>
              <w:t xml:space="preserve">  2、</w:t>
            </w:r>
            <w:r>
              <w:rPr>
                <w:rFonts w:hint="eastAsia" w:ascii="宋体" w:hAnsi="宋体" w:cs="宋体"/>
                <w:color w:val="000000"/>
                <w:highlight w:val="none"/>
              </w:rPr>
              <w:t>项目实施方案比较详细，可行性较高，满足采购需求的，得6分</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 xml:space="preserve">  3、</w:t>
            </w:r>
            <w:r>
              <w:rPr>
                <w:rFonts w:hint="eastAsia" w:ascii="宋体" w:hAnsi="宋体" w:cs="宋体"/>
                <w:color w:val="000000"/>
                <w:highlight w:val="none"/>
              </w:rPr>
              <w:t>项目实施方案不够详细，可行性较低，基本满足采购需求的，得2分</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4.未提供的不得分。</w:t>
            </w:r>
          </w:p>
        </w:tc>
      </w:tr>
      <w:tr w14:paraId="0CC8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2" w:type="dxa"/>
            <w:noWrap w:val="0"/>
            <w:vAlign w:val="center"/>
          </w:tcPr>
          <w:p w14:paraId="3DF74429">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2830" w:type="dxa"/>
            <w:noWrap w:val="0"/>
            <w:vAlign w:val="center"/>
          </w:tcPr>
          <w:p w14:paraId="2E51540A">
            <w:pPr>
              <w:spacing w:line="360" w:lineRule="auto"/>
              <w:jc w:val="center"/>
              <w:rPr>
                <w:rFonts w:hint="default"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服务团队稳定性保障</w:t>
            </w:r>
          </w:p>
        </w:tc>
        <w:tc>
          <w:tcPr>
            <w:tcW w:w="817" w:type="dxa"/>
            <w:noWrap w:val="0"/>
            <w:vAlign w:val="center"/>
          </w:tcPr>
          <w:p w14:paraId="31C917F0">
            <w:pPr>
              <w:spacing w:line="360" w:lineRule="auto"/>
              <w:jc w:val="center"/>
              <w:rPr>
                <w:rFonts w:hint="default" w:ascii="宋体" w:hAnsi="宋体" w:eastAsia="宋体" w:cs="Times New Roman"/>
                <w:kern w:val="0"/>
                <w:sz w:val="24"/>
                <w:szCs w:val="21"/>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1" w:type="dxa"/>
            <w:noWrap w:val="0"/>
            <w:vAlign w:val="center"/>
          </w:tcPr>
          <w:p w14:paraId="2C957F50">
            <w:pPr>
              <w:numPr>
                <w:ilvl w:val="0"/>
                <w:numId w:val="0"/>
              </w:numPr>
              <w:spacing w:line="360" w:lineRule="auto"/>
              <w:ind w:left="0" w:leftChars="0" w:firstLine="0" w:firstLineChars="0"/>
              <w:rPr>
                <w:rFonts w:hint="eastAsia"/>
                <w:kern w:val="2"/>
                <w:sz w:val="24"/>
                <w:szCs w:val="22"/>
                <w:lang w:val="en-US" w:eastAsia="zh-CN" w:bidi="ar-SA"/>
              </w:rPr>
            </w:pPr>
            <w:r>
              <w:rPr>
                <w:rFonts w:hint="eastAsia" w:ascii="宋体" w:hAnsi="宋体" w:eastAsia="宋体" w:cs="宋体"/>
                <w:b w:val="0"/>
                <w:bCs/>
                <w:sz w:val="24"/>
                <w:szCs w:val="24"/>
                <w:highlight w:val="none"/>
              </w:rPr>
              <w:t>根据</w:t>
            </w:r>
            <w:r>
              <w:rPr>
                <w:rFonts w:hint="eastAsia" w:ascii="宋体" w:hAnsi="宋体" w:cs="宋体"/>
                <w:color w:val="000000"/>
                <w:highlight w:val="none"/>
                <w:lang w:val="en-US" w:eastAsia="zh-CN"/>
              </w:rPr>
              <w:t>供应商</w:t>
            </w:r>
            <w:r>
              <w:rPr>
                <w:rFonts w:hint="eastAsia" w:ascii="宋体" w:hAnsi="宋体" w:eastAsia="宋体" w:cs="宋体"/>
                <w:b w:val="0"/>
                <w:bCs/>
                <w:sz w:val="24"/>
                <w:szCs w:val="24"/>
                <w:highlight w:val="none"/>
              </w:rPr>
              <w:t>提供的拟投服务团队稳定性保障措施(含人员流失应急预案、人员稳定性)方案进行评审:</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1拟投服务团队稳定性保障措施(含人员流失应急预案)方案全面、具体、合理的，完全满足采购需求的，得10分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2.拟投服务团队稳定性保障措施(含人员流失应急预案)方案比较全面、具体、合理的，满足采购需求的，得6分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3.拟投服务团队稳定性保障措施(含人员流失应急预案)方案基本合理，基本满足采购需求的，得2分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4.未提供的不得分。</w:t>
            </w:r>
          </w:p>
        </w:tc>
      </w:tr>
      <w:tr w14:paraId="0A17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2" w:type="dxa"/>
            <w:noWrap w:val="0"/>
            <w:vAlign w:val="center"/>
          </w:tcPr>
          <w:p w14:paraId="2723386E">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2830" w:type="dxa"/>
            <w:noWrap w:val="0"/>
            <w:vAlign w:val="center"/>
          </w:tcPr>
          <w:p w14:paraId="0A3E8A59">
            <w:pPr>
              <w:spacing w:line="360" w:lineRule="auto"/>
              <w:jc w:val="center"/>
              <w:rPr>
                <w:rFonts w:hint="default"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团队培训及考核方案</w:t>
            </w:r>
          </w:p>
        </w:tc>
        <w:tc>
          <w:tcPr>
            <w:tcW w:w="817" w:type="dxa"/>
            <w:noWrap w:val="0"/>
            <w:vAlign w:val="center"/>
          </w:tcPr>
          <w:p w14:paraId="355F87AD">
            <w:pPr>
              <w:spacing w:line="360" w:lineRule="auto"/>
              <w:jc w:val="center"/>
              <w:rPr>
                <w:rFonts w:hint="default" w:ascii="Times New Roman" w:hAnsi="Times New Roman" w:eastAsia="宋体" w:cs="Times New Roman"/>
                <w:color w:val="000000"/>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1" w:type="dxa"/>
            <w:noWrap w:val="0"/>
            <w:vAlign w:val="center"/>
          </w:tcPr>
          <w:p w14:paraId="36838E3A">
            <w:pPr>
              <w:numPr>
                <w:ilvl w:val="0"/>
                <w:numId w:val="0"/>
              </w:numPr>
              <w:spacing w:line="360" w:lineRule="auto"/>
              <w:jc w:val="left"/>
              <w:rPr>
                <w:rFonts w:hint="eastAsia"/>
                <w:kern w:val="2"/>
                <w:sz w:val="24"/>
                <w:szCs w:val="22"/>
                <w:lang w:val="en-US" w:eastAsia="zh-CN" w:bidi="ar-SA"/>
              </w:rPr>
            </w:pPr>
            <w:r>
              <w:rPr>
                <w:rFonts w:hint="eastAsia" w:ascii="宋体" w:hAnsi="宋体" w:cs="宋体"/>
                <w:color w:val="000000"/>
                <w:highlight w:val="none"/>
                <w:lang w:val="en-US" w:eastAsia="zh-CN"/>
              </w:rPr>
              <w:t>供应商</w:t>
            </w:r>
            <w:r>
              <w:rPr>
                <w:rFonts w:hint="eastAsia" w:ascii="Calibri" w:eastAsia="宋体"/>
                <w:kern w:val="2"/>
                <w:sz w:val="24"/>
                <w:szCs w:val="22"/>
                <w:lang w:val="en-US" w:eastAsia="zh-CN" w:bidi="ar-SA"/>
              </w:rPr>
              <w:t>针对本项目服务团队的培训考核方案进行评审:  1.培训考核方案详细，准确，合理，具有可行性，完全满足采购需求的，得10分;  2.培训考核方案详细，基本准确，相对合理，可行性较高，满足采购需求的，得6分;  3.培训考核方案尚可，可行性较低，合理性一般，基本满足采购需求的，得2分;  4.未提供的不得分。</w:t>
            </w:r>
          </w:p>
        </w:tc>
      </w:tr>
      <w:tr w14:paraId="61AF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2" w:type="dxa"/>
            <w:noWrap w:val="0"/>
            <w:vAlign w:val="center"/>
          </w:tcPr>
          <w:p w14:paraId="175F3FC7">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2830" w:type="dxa"/>
            <w:noWrap w:val="0"/>
            <w:vAlign w:val="center"/>
          </w:tcPr>
          <w:p w14:paraId="7866D6AA">
            <w:pPr>
              <w:spacing w:line="360" w:lineRule="auto"/>
              <w:jc w:val="center"/>
              <w:rPr>
                <w:rFonts w:hint="default" w:ascii="宋体" w:hAnsi="宋体" w:eastAsia="宋体" w:cs="宋体"/>
                <w:kern w:val="2"/>
                <w:sz w:val="24"/>
                <w:szCs w:val="22"/>
                <w:highlight w:val="none"/>
                <w:lang w:val="en-US" w:eastAsia="zh-CN" w:bidi="ar-SA"/>
              </w:rPr>
            </w:pPr>
            <w:r>
              <w:rPr>
                <w:rFonts w:hint="eastAsia" w:ascii="宋体" w:hAnsi="宋体" w:eastAsia="宋体"/>
                <w:szCs w:val="21"/>
                <w:highlight w:val="none"/>
                <w:lang w:val="en-US" w:eastAsia="zh-CN"/>
              </w:rPr>
              <w:t>突发事件应急管理方案</w:t>
            </w:r>
          </w:p>
        </w:tc>
        <w:tc>
          <w:tcPr>
            <w:tcW w:w="817" w:type="dxa"/>
            <w:noWrap w:val="0"/>
            <w:vAlign w:val="center"/>
          </w:tcPr>
          <w:p w14:paraId="728AD824">
            <w:pPr>
              <w:spacing w:line="360" w:lineRule="auto"/>
              <w:jc w:val="center"/>
              <w:rPr>
                <w:rFonts w:hint="default" w:ascii="Times New Roman" w:hAnsi="Times New Roman" w:eastAsia="宋体" w:cs="Times New Roman"/>
                <w:color w:val="000000"/>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1" w:type="dxa"/>
            <w:noWrap w:val="0"/>
            <w:vAlign w:val="center"/>
          </w:tcPr>
          <w:p w14:paraId="00D4E87A">
            <w:pPr>
              <w:numPr>
                <w:ilvl w:val="0"/>
                <w:numId w:val="0"/>
              </w:numPr>
              <w:spacing w:line="360" w:lineRule="auto"/>
              <w:ind w:left="0" w:leftChars="0" w:firstLine="0" w:firstLineChars="0"/>
              <w:rPr>
                <w:rFonts w:hint="eastAsia"/>
                <w:kern w:val="2"/>
                <w:sz w:val="24"/>
                <w:szCs w:val="22"/>
                <w:highlight w:val="none"/>
                <w:lang w:val="en-US" w:eastAsia="zh-CN" w:bidi="ar-SA"/>
              </w:rPr>
            </w:pPr>
            <w:r>
              <w:rPr>
                <w:rFonts w:hint="eastAsia" w:ascii="宋体" w:hAnsi="宋体" w:cs="宋体"/>
                <w:color w:val="000000"/>
                <w:highlight w:val="none"/>
                <w:lang w:val="en-US" w:eastAsia="zh-CN"/>
              </w:rPr>
              <w:t>供应商</w:t>
            </w:r>
            <w:r>
              <w:rPr>
                <w:rFonts w:hint="eastAsia" w:ascii="宋体" w:hAnsi="宋体" w:eastAsia="宋体" w:cs="宋体"/>
                <w:sz w:val="24"/>
                <w:szCs w:val="24"/>
                <w:highlight w:val="none"/>
              </w:rPr>
              <w:t>的应急工作机制，能否应对各类突发应急事件以保障项目稳定运营进行评审: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1.方案详细，准确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合理，具有可行性，完全满足采购需求的，得10分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2.方案详细，基本准确，相对合理，可行性较高，满足采购需求的，得6分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3.方案尚可，可行性较低，基本满足采购需求的，得2分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4.未提供的不得分。</w:t>
            </w:r>
          </w:p>
        </w:tc>
      </w:tr>
      <w:tr w14:paraId="4332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3" w:hRule="atLeast"/>
          <w:jc w:val="center"/>
        </w:trPr>
        <w:tc>
          <w:tcPr>
            <w:tcW w:w="492" w:type="dxa"/>
            <w:noWrap w:val="0"/>
            <w:vAlign w:val="center"/>
          </w:tcPr>
          <w:p w14:paraId="6C45BEF3">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2830" w:type="dxa"/>
            <w:noWrap w:val="0"/>
            <w:vAlign w:val="center"/>
          </w:tcPr>
          <w:p w14:paraId="6EEB1BC6">
            <w:pPr>
              <w:spacing w:line="360" w:lineRule="auto"/>
              <w:jc w:val="center"/>
              <w:rPr>
                <w:rFonts w:hint="default"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企业管理方案</w:t>
            </w:r>
          </w:p>
        </w:tc>
        <w:tc>
          <w:tcPr>
            <w:tcW w:w="817" w:type="dxa"/>
            <w:noWrap w:val="0"/>
            <w:vAlign w:val="center"/>
          </w:tcPr>
          <w:p w14:paraId="69CC598A">
            <w:pPr>
              <w:spacing w:line="360" w:lineRule="auto"/>
              <w:jc w:val="center"/>
              <w:rPr>
                <w:rFonts w:hint="default" w:ascii="Times New Roman" w:hAnsi="Times New Roman" w:eastAsia="宋体" w:cs="Times New Roman"/>
                <w:color w:val="000000"/>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1" w:type="dxa"/>
            <w:noWrap w:val="0"/>
            <w:vAlign w:val="center"/>
          </w:tcPr>
          <w:p w14:paraId="28505E39">
            <w:pPr>
              <w:numPr>
                <w:ilvl w:val="0"/>
                <w:numId w:val="0"/>
              </w:numPr>
              <w:spacing w:line="360" w:lineRule="auto"/>
              <w:ind w:left="0" w:leftChars="0" w:firstLine="0" w:firstLineChars="0"/>
              <w:rPr>
                <w:rFonts w:hint="eastAsia"/>
                <w:kern w:val="2"/>
                <w:sz w:val="24"/>
                <w:szCs w:val="22"/>
                <w:highlight w:val="none"/>
                <w:lang w:val="en-US" w:eastAsia="zh-CN" w:bidi="ar-SA"/>
              </w:rPr>
            </w:pPr>
            <w:r>
              <w:rPr>
                <w:rFonts w:hint="eastAsia"/>
              </w:rPr>
              <w:t>对</w:t>
            </w:r>
            <w:r>
              <w:rPr>
                <w:rFonts w:hint="eastAsia" w:ascii="宋体" w:hAnsi="宋体" w:cs="宋体"/>
                <w:color w:val="000000"/>
                <w:highlight w:val="none"/>
                <w:lang w:val="en-US" w:eastAsia="zh-CN"/>
              </w:rPr>
              <w:t>供应商</w:t>
            </w:r>
            <w:r>
              <w:rPr>
                <w:rFonts w:hint="eastAsia"/>
              </w:rPr>
              <w:t>的企业管理</w:t>
            </w:r>
            <w:r>
              <w:rPr>
                <w:rFonts w:hint="eastAsia" w:ascii="宋体" w:hAnsi="宋体" w:eastAsia="宋体" w:cs="宋体"/>
                <w:color w:val="auto"/>
                <w:sz w:val="24"/>
                <w:szCs w:val="24"/>
                <w:highlight w:val="none"/>
                <w:lang w:val="en-US" w:eastAsia="zh-CN"/>
              </w:rPr>
              <w:t>方案</w:t>
            </w:r>
            <w:r>
              <w:rPr>
                <w:rFonts w:hint="eastAsia"/>
              </w:rPr>
              <w:t>(包括如行为规范、质量管理、规章制度、对接情况等)进行评审:</w:t>
            </w:r>
            <w:r>
              <w:rPr>
                <w:rFonts w:hint="eastAsia" w:ascii="Calibri" w:eastAsia="宋体"/>
                <w:lang w:val="en-US" w:eastAsia="zh-CN"/>
              </w:rPr>
              <w:t xml:space="preserve">  </w:t>
            </w:r>
            <w:r>
              <w:rPr>
                <w:rFonts w:hint="eastAsia"/>
              </w:rPr>
              <w:t>1.管理制度完善、合理、可行性高，完全满足采购需求的，得10分;</w:t>
            </w:r>
            <w:r>
              <w:rPr>
                <w:rFonts w:hint="eastAsia" w:ascii="Calibri" w:eastAsia="宋体"/>
                <w:lang w:val="en-US" w:eastAsia="zh-CN"/>
              </w:rPr>
              <w:t xml:space="preserve">  </w:t>
            </w:r>
            <w:r>
              <w:rPr>
                <w:rFonts w:hint="eastAsia"/>
              </w:rPr>
              <w:t>2.管理制度较完善、较合理，可行性较高，满足采购需求的，得6分;</w:t>
            </w:r>
            <w:r>
              <w:rPr>
                <w:rFonts w:hint="eastAsia" w:ascii="Calibri" w:eastAsia="宋体"/>
                <w:lang w:val="en-US" w:eastAsia="zh-CN"/>
              </w:rPr>
              <w:t xml:space="preserve">  </w:t>
            </w:r>
            <w:r>
              <w:rPr>
                <w:rFonts w:hint="eastAsia"/>
              </w:rPr>
              <w:t>3.管理制度基本完善、可行性较低，基本满足采购需求的，得2分;</w:t>
            </w:r>
            <w:r>
              <w:rPr>
                <w:rFonts w:hint="eastAsia" w:ascii="Calibri" w:eastAsia="宋体"/>
                <w:lang w:val="en-US" w:eastAsia="zh-CN"/>
              </w:rPr>
              <w:t xml:space="preserve">  </w:t>
            </w:r>
            <w:r>
              <w:rPr>
                <w:rFonts w:hint="eastAsia"/>
              </w:rPr>
              <w:t>4.未提供的不得分。</w:t>
            </w:r>
          </w:p>
        </w:tc>
      </w:tr>
    </w:tbl>
    <w:p w14:paraId="48BFE424">
      <w:pPr>
        <w:widowControl w:val="0"/>
        <w:spacing w:before="25" w:after="25"/>
        <w:jc w:val="left"/>
        <w:rPr>
          <w:rFonts w:ascii="宋体" w:hAnsi="宋体" w:eastAsia="宋体" w:cs="Times New Roman"/>
          <w:b/>
          <w:bCs/>
          <w:color w:val="auto"/>
          <w:spacing w:val="10"/>
          <w:kern w:val="0"/>
          <w:sz w:val="24"/>
          <w:szCs w:val="20"/>
          <w:highlight w:val="none"/>
          <w:lang w:val="en-US" w:eastAsia="zh-CN" w:bidi="ar-SA"/>
        </w:rPr>
      </w:pPr>
    </w:p>
    <w:p w14:paraId="1FF81A77">
      <w:pPr>
        <w:numPr>
          <w:ilvl w:val="0"/>
          <w:numId w:val="43"/>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商务部分评审标准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2782"/>
        <w:gridCol w:w="859"/>
        <w:gridCol w:w="5325"/>
      </w:tblGrid>
      <w:tr w14:paraId="20D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00" w:type="dxa"/>
            <w:gridSpan w:val="4"/>
            <w:shd w:val="clear" w:color="auto" w:fill="A4A4A4"/>
            <w:noWrap w:val="0"/>
            <w:vAlign w:val="center"/>
          </w:tcPr>
          <w:p w14:paraId="13C54B90">
            <w:pPr>
              <w:spacing w:line="288" w:lineRule="auto"/>
              <w:jc w:val="center"/>
              <w:rPr>
                <w:rFonts w:hint="eastAsia" w:ascii="宋体" w:hAnsi="宋体" w:cs="宋体"/>
                <w:color w:val="auto"/>
                <w:szCs w:val="24"/>
                <w:highlight w:val="none"/>
              </w:rPr>
            </w:pPr>
            <w:r>
              <w:rPr>
                <w:rFonts w:hint="eastAsia" w:ascii="宋体" w:hAnsi="宋体" w:cs="宋体"/>
                <w:color w:val="auto"/>
                <w:kern w:val="0"/>
                <w:szCs w:val="24"/>
                <w:highlight w:val="none"/>
              </w:rPr>
              <w:t>商务部分（</w:t>
            </w:r>
            <w:r>
              <w:rPr>
                <w:rFonts w:hint="eastAsia" w:ascii="宋体" w:hAnsi="宋体" w:cs="宋体"/>
                <w:color w:val="auto"/>
                <w:kern w:val="0"/>
                <w:szCs w:val="24"/>
                <w:highlight w:val="none"/>
                <w:lang w:val="en-US" w:eastAsia="zh-CN"/>
              </w:rPr>
              <w:t>40</w:t>
            </w:r>
            <w:r>
              <w:rPr>
                <w:rFonts w:hint="eastAsia" w:ascii="宋体" w:hAnsi="宋体" w:cs="宋体"/>
                <w:color w:val="auto"/>
                <w:kern w:val="0"/>
                <w:szCs w:val="24"/>
                <w:highlight w:val="none"/>
              </w:rPr>
              <w:t>分）</w:t>
            </w:r>
          </w:p>
        </w:tc>
      </w:tr>
      <w:tr w14:paraId="329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16" w:type="dxa"/>
            <w:gridSpan w:val="2"/>
            <w:shd w:val="clear" w:color="auto" w:fill="A4A4A4"/>
            <w:noWrap w:val="0"/>
            <w:vAlign w:val="center"/>
          </w:tcPr>
          <w:p w14:paraId="53744F4B">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商务评审子项</w:t>
            </w:r>
          </w:p>
        </w:tc>
        <w:tc>
          <w:tcPr>
            <w:tcW w:w="859" w:type="dxa"/>
            <w:shd w:val="clear" w:color="auto" w:fill="A4A4A4"/>
            <w:noWrap w:val="0"/>
            <w:vAlign w:val="center"/>
          </w:tcPr>
          <w:p w14:paraId="4B550CC7">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分值</w:t>
            </w:r>
          </w:p>
        </w:tc>
        <w:tc>
          <w:tcPr>
            <w:tcW w:w="5325" w:type="dxa"/>
            <w:shd w:val="clear" w:color="auto" w:fill="A4A4A4"/>
            <w:noWrap w:val="0"/>
            <w:vAlign w:val="center"/>
          </w:tcPr>
          <w:p w14:paraId="5665A596">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评分标准和指引</w:t>
            </w:r>
          </w:p>
        </w:tc>
      </w:tr>
      <w:tr w14:paraId="262C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34" w:type="dxa"/>
            <w:vMerge w:val="restart"/>
            <w:noWrap w:val="0"/>
            <w:vAlign w:val="center"/>
          </w:tcPr>
          <w:p w14:paraId="2D2941EA">
            <w:pPr>
              <w:spacing w:line="288" w:lineRule="auto"/>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2782" w:type="dxa"/>
            <w:vMerge w:val="restart"/>
            <w:noWrap w:val="0"/>
            <w:vAlign w:val="center"/>
          </w:tcPr>
          <w:p w14:paraId="74845F07">
            <w:pPr>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bCs/>
                <w:color w:val="auto"/>
                <w:sz w:val="24"/>
                <w:szCs w:val="24"/>
                <w:highlight w:val="none"/>
                <w:lang w:val="en-US" w:eastAsia="zh-CN"/>
              </w:rPr>
              <w:t>企业认证</w:t>
            </w:r>
          </w:p>
        </w:tc>
        <w:tc>
          <w:tcPr>
            <w:tcW w:w="859" w:type="dxa"/>
            <w:vMerge w:val="restart"/>
            <w:noWrap w:val="0"/>
            <w:vAlign w:val="center"/>
          </w:tcPr>
          <w:p w14:paraId="7466C495">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325" w:type="dxa"/>
            <w:noWrap w:val="0"/>
            <w:vAlign w:val="center"/>
          </w:tcPr>
          <w:p w14:paraId="4A4B5601">
            <w:pPr>
              <w:numPr>
                <w:ilvl w:val="0"/>
                <w:numId w:val="44"/>
              </w:numPr>
              <w:adjustRightInd w:val="0"/>
              <w:snapToGrid w:val="0"/>
              <w:spacing w:line="360" w:lineRule="auto"/>
              <w:rPr>
                <w:rFonts w:hint="eastAsia" w:ascii="宋体" w:hAnsi="宋体" w:cs="宋体"/>
                <w:color w:val="auto"/>
                <w:szCs w:val="24"/>
                <w:highlight w:val="none"/>
              </w:rPr>
            </w:pPr>
            <w:r>
              <w:rPr>
                <w:rFonts w:hint="eastAsia" w:ascii="宋体" w:hAnsi="宋体" w:cs="宋体"/>
                <w:color w:val="000000"/>
                <w:highlight w:val="none"/>
                <w:lang w:val="en-US" w:eastAsia="zh-CN"/>
              </w:rPr>
              <w:t>供应商</w:t>
            </w:r>
            <w:r>
              <w:rPr>
                <w:rFonts w:hint="eastAsia" w:ascii="宋体" w:hAnsi="宋体" w:eastAsia="宋体" w:cs="宋体"/>
                <w:color w:val="auto"/>
                <w:sz w:val="24"/>
                <w:szCs w:val="24"/>
                <w:highlight w:val="none"/>
                <w:lang w:eastAsia="zh-CN"/>
              </w:rPr>
              <w:t>具有有效的质量管理体系认证证书的，得4</w:t>
            </w:r>
            <w:r>
              <w:rPr>
                <w:rFonts w:hint="eastAsia" w:ascii="宋体" w:hAnsi="宋体" w:eastAsia="宋体" w:cs="宋体"/>
                <w:color w:val="auto"/>
                <w:sz w:val="24"/>
                <w:szCs w:val="24"/>
                <w:highlight w:val="none"/>
                <w:lang w:val="en-US" w:eastAsia="zh-CN"/>
              </w:rPr>
              <w:t xml:space="preserve">分。  </w:t>
            </w:r>
            <w:r>
              <w:rPr>
                <w:rFonts w:hint="eastAsia" w:ascii="宋体" w:hAnsi="宋体" w:eastAsia="宋体" w:cs="宋体"/>
                <w:color w:val="auto"/>
                <w:sz w:val="24"/>
                <w:szCs w:val="24"/>
                <w:highlight w:val="none"/>
                <w:lang w:eastAsia="zh-CN"/>
              </w:rPr>
              <w:t>2.</w:t>
            </w:r>
            <w:r>
              <w:rPr>
                <w:rFonts w:hint="eastAsia" w:ascii="宋体" w:hAnsi="宋体" w:cs="宋体"/>
                <w:color w:val="000000"/>
                <w:highlight w:val="none"/>
                <w:lang w:val="en-US" w:eastAsia="zh-CN"/>
              </w:rPr>
              <w:t>供应商</w:t>
            </w:r>
            <w:r>
              <w:rPr>
                <w:rFonts w:hint="eastAsia" w:ascii="宋体" w:hAnsi="宋体" w:eastAsia="宋体" w:cs="宋体"/>
                <w:color w:val="auto"/>
                <w:sz w:val="24"/>
                <w:szCs w:val="24"/>
                <w:highlight w:val="none"/>
                <w:lang w:eastAsia="zh-CN"/>
              </w:rPr>
              <w:t>具有有效的环境管理体系认证证书，</w:t>
            </w:r>
            <w:r>
              <w:rPr>
                <w:rFonts w:hint="eastAsia" w:ascii="宋体" w:hAnsi="宋体" w:eastAsia="宋体" w:cs="宋体"/>
                <w:color w:val="auto"/>
                <w:sz w:val="24"/>
                <w:szCs w:val="24"/>
                <w:highlight w:val="none"/>
                <w:lang w:val="en-US" w:eastAsia="zh-CN"/>
              </w:rPr>
              <w:t>得4</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3.</w:t>
            </w:r>
            <w:r>
              <w:rPr>
                <w:rFonts w:hint="eastAsia" w:ascii="宋体" w:hAnsi="宋体" w:cs="宋体"/>
                <w:color w:val="000000"/>
                <w:highlight w:val="none"/>
                <w:lang w:val="en-US" w:eastAsia="zh-CN"/>
              </w:rPr>
              <w:t>供应商</w:t>
            </w:r>
            <w:r>
              <w:rPr>
                <w:rFonts w:hint="eastAsia" w:ascii="宋体" w:hAnsi="宋体" w:eastAsia="宋体" w:cs="宋体"/>
                <w:color w:val="auto"/>
                <w:sz w:val="24"/>
                <w:szCs w:val="24"/>
                <w:highlight w:val="none"/>
                <w:lang w:eastAsia="zh-CN"/>
              </w:rPr>
              <w:t>具有有效的职业健康安全管理</w:t>
            </w:r>
            <w:r>
              <w:rPr>
                <w:rFonts w:hint="eastAsia" w:ascii="宋体" w:hAnsi="宋体" w:eastAsia="宋体" w:cs="宋体"/>
                <w:color w:val="auto"/>
                <w:sz w:val="24"/>
                <w:szCs w:val="24"/>
                <w:highlight w:val="none"/>
                <w:lang w:val="en-US" w:eastAsia="zh-CN"/>
              </w:rPr>
              <w:t>体系</w:t>
            </w:r>
            <w:r>
              <w:rPr>
                <w:rFonts w:hint="eastAsia" w:ascii="宋体" w:hAnsi="宋体" w:eastAsia="宋体" w:cs="宋体"/>
                <w:color w:val="auto"/>
                <w:sz w:val="24"/>
                <w:szCs w:val="24"/>
                <w:highlight w:val="none"/>
                <w:lang w:eastAsia="zh-CN"/>
              </w:rPr>
              <w:t>认证证书，</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eastAsia="zh-CN"/>
              </w:rPr>
              <w:t>4分。注:须提供相关证书扫描件或</w:t>
            </w:r>
            <w:r>
              <w:rPr>
                <w:rFonts w:hint="eastAsia" w:ascii="宋体" w:hAnsi="宋体" w:eastAsia="宋体" w:cs="宋体"/>
                <w:color w:val="auto"/>
                <w:sz w:val="24"/>
                <w:szCs w:val="24"/>
                <w:highlight w:val="none"/>
                <w:lang w:val="en-US" w:eastAsia="zh-CN"/>
              </w:rPr>
              <w:t>在全国认证认可信息公共服务平台对体系证书（网址以http://cx.cnca.cn/网站发布为准）的信息查询截图加盖公章，已暂停、已失效或撤销的认证证书不得分。</w:t>
            </w:r>
          </w:p>
        </w:tc>
      </w:tr>
      <w:tr w14:paraId="557B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4" w:type="dxa"/>
            <w:noWrap w:val="0"/>
            <w:vAlign w:val="center"/>
          </w:tcPr>
          <w:p w14:paraId="2EE9C8C4">
            <w:pPr>
              <w:spacing w:line="288"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3</w:t>
            </w:r>
          </w:p>
        </w:tc>
        <w:tc>
          <w:tcPr>
            <w:tcW w:w="2782" w:type="dxa"/>
            <w:noWrap w:val="0"/>
            <w:vAlign w:val="center"/>
          </w:tcPr>
          <w:p w14:paraId="5972FF8F">
            <w:pPr>
              <w:widowControl/>
              <w:spacing w:line="360" w:lineRule="auto"/>
              <w:jc w:val="center"/>
              <w:rPr>
                <w:rFonts w:hint="eastAsia" w:ascii="宋体" w:hAnsi="宋体" w:cs="宋体"/>
                <w:color w:val="auto"/>
                <w:szCs w:val="24"/>
                <w:highlight w:val="none"/>
              </w:rPr>
            </w:pPr>
            <w:r>
              <w:rPr>
                <w:rFonts w:hint="eastAsia" w:ascii="宋体" w:hAnsi="宋体" w:eastAsia="宋体" w:cs="宋体"/>
                <w:color w:val="auto"/>
                <w:sz w:val="24"/>
                <w:szCs w:val="24"/>
                <w:highlight w:val="none"/>
              </w:rPr>
              <w:t>拟投入项目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情况</w:t>
            </w:r>
          </w:p>
        </w:tc>
        <w:tc>
          <w:tcPr>
            <w:tcW w:w="859" w:type="dxa"/>
            <w:noWrap w:val="0"/>
            <w:vAlign w:val="center"/>
          </w:tcPr>
          <w:p w14:paraId="14738EE4">
            <w:pPr>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5325" w:type="dxa"/>
            <w:noWrap w:val="0"/>
            <w:vAlign w:val="center"/>
          </w:tcPr>
          <w:p w14:paraId="29FEFF00">
            <w:pPr>
              <w:widowControl w:val="0"/>
              <w:spacing w:line="360" w:lineRule="auto"/>
              <w:ind w:firstLine="0" w:firstLine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拟投入项目经理具有二级</w:t>
            </w:r>
            <w:r>
              <w:rPr>
                <w:rFonts w:hint="eastAsia" w:ascii="宋体" w:hAnsi="宋体" w:cs="宋体"/>
                <w:color w:val="auto"/>
                <w:kern w:val="2"/>
                <w:sz w:val="24"/>
                <w:szCs w:val="24"/>
                <w:highlight w:val="none"/>
                <w:lang w:val="en-US" w:eastAsia="zh-CN" w:bidi="ar-SA"/>
              </w:rPr>
              <w:t>/技师</w:t>
            </w:r>
            <w:r>
              <w:rPr>
                <w:rFonts w:hint="eastAsia" w:ascii="宋体" w:hAnsi="宋体" w:eastAsia="宋体" w:cs="宋体"/>
                <w:color w:val="auto"/>
                <w:kern w:val="2"/>
                <w:sz w:val="24"/>
                <w:szCs w:val="24"/>
                <w:highlight w:val="none"/>
                <w:lang w:val="en-US" w:eastAsia="zh-CN" w:bidi="ar-SA"/>
              </w:rPr>
              <w:t>（或以上）保安</w:t>
            </w:r>
            <w:r>
              <w:rPr>
                <w:rFonts w:hint="eastAsia" w:ascii="宋体" w:hAnsi="宋体" w:cs="宋体"/>
                <w:color w:val="auto"/>
                <w:kern w:val="2"/>
                <w:sz w:val="24"/>
                <w:szCs w:val="24"/>
                <w:highlight w:val="none"/>
                <w:lang w:val="en-US" w:eastAsia="zh-CN" w:bidi="ar-SA"/>
              </w:rPr>
              <w:t>员（原保安师）职业资格</w:t>
            </w:r>
            <w:r>
              <w:rPr>
                <w:rFonts w:hint="eastAsia" w:ascii="宋体" w:hAnsi="宋体" w:eastAsia="宋体" w:cs="宋体"/>
                <w:color w:val="auto"/>
                <w:kern w:val="2"/>
                <w:sz w:val="24"/>
                <w:szCs w:val="24"/>
                <w:highlight w:val="none"/>
                <w:lang w:val="en-US" w:eastAsia="zh-CN" w:bidi="ar-SA"/>
              </w:rPr>
              <w:t>证书的，得3分，本项最高得3分。  注：须提供上述人员相关证书扫描件</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提供近</w:t>
            </w:r>
            <w:r>
              <w:rPr>
                <w:rFonts w:hint="eastAsia" w:ascii="宋体" w:hAnsi="宋体" w:eastAsia="宋体" w:cs="宋体"/>
                <w:color w:val="auto"/>
                <w:kern w:val="2"/>
                <w:sz w:val="24"/>
                <w:szCs w:val="24"/>
                <w:highlight w:val="none"/>
                <w:u w:val="single"/>
                <w:lang w:val="en-US" w:eastAsia="zh-CN" w:bidi="ar-SA"/>
              </w:rPr>
              <w:t>六</w:t>
            </w:r>
            <w:r>
              <w:rPr>
                <w:rFonts w:hint="eastAsia" w:ascii="宋体" w:hAnsi="宋体" w:eastAsia="宋体" w:cs="宋体"/>
                <w:color w:val="auto"/>
                <w:kern w:val="2"/>
                <w:sz w:val="24"/>
                <w:szCs w:val="24"/>
                <w:highlight w:val="none"/>
                <w:lang w:val="en-US" w:eastAsia="zh-CN" w:bidi="ar-SA"/>
              </w:rPr>
              <w:t>个月中任意一个月在本单位购买社保的凭证；其他或不提供不得分。</w:t>
            </w:r>
          </w:p>
        </w:tc>
      </w:tr>
      <w:tr w14:paraId="7524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4" w:type="dxa"/>
            <w:noWrap w:val="0"/>
            <w:vAlign w:val="center"/>
          </w:tcPr>
          <w:p w14:paraId="514B063A">
            <w:pPr>
              <w:spacing w:line="288"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2782" w:type="dxa"/>
            <w:noWrap w:val="0"/>
            <w:vAlign w:val="center"/>
          </w:tcPr>
          <w:p w14:paraId="4BF551D6">
            <w:pPr>
              <w:widowControl/>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lang w:val="en-US" w:eastAsia="zh-CN"/>
              </w:rPr>
              <w:t>快速响应服务要求优势</w:t>
            </w:r>
          </w:p>
        </w:tc>
        <w:tc>
          <w:tcPr>
            <w:tcW w:w="859" w:type="dxa"/>
            <w:noWrap w:val="0"/>
            <w:vAlign w:val="center"/>
          </w:tcPr>
          <w:p w14:paraId="0F776915">
            <w:pPr>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5325" w:type="dxa"/>
            <w:noWrap w:val="0"/>
            <w:vAlign w:val="center"/>
          </w:tcPr>
          <w:p w14:paraId="5098576E">
            <w:pPr>
              <w:widowControl w:val="0"/>
              <w:spacing w:line="360" w:lineRule="auto"/>
              <w:ind w:firstLine="0" w:firstLineChars="0"/>
              <w:jc w:val="both"/>
              <w:rPr>
                <w:rFonts w:hint="default" w:ascii="Times New Roman" w:hAnsi="Times New Roman" w:eastAsia="宋体" w:cs="Times New Roman"/>
                <w:bCs/>
                <w:spacing w:val="10"/>
                <w:kern w:val="0"/>
                <w:sz w:val="24"/>
                <w:szCs w:val="20"/>
                <w:highlight w:val="none"/>
                <w:lang w:val="en-US" w:eastAsia="zh-CN" w:bidi="ar-SA"/>
              </w:rPr>
            </w:pPr>
            <w:r>
              <w:rPr>
                <w:rFonts w:hint="eastAsia" w:ascii="Times New Roman" w:hAnsi="Times New Roman" w:eastAsia="宋体" w:cs="宋体"/>
                <w:color w:val="auto"/>
                <w:kern w:val="2"/>
                <w:sz w:val="24"/>
                <w:szCs w:val="24"/>
                <w:highlight w:val="none"/>
                <w:lang w:val="en-US" w:eastAsia="zh-CN" w:bidi="ar"/>
              </w:rPr>
              <w:t>根据各</w:t>
            </w:r>
            <w:r>
              <w:rPr>
                <w:rFonts w:hint="eastAsia" w:ascii="宋体" w:hAnsi="宋体" w:eastAsia="宋体" w:cs="宋体"/>
                <w:color w:val="000000"/>
                <w:kern w:val="2"/>
                <w:sz w:val="24"/>
                <w:szCs w:val="20"/>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
              </w:rPr>
              <w:t>为本项目提供服务的便捷性、快速响应采购人服务</w:t>
            </w:r>
            <w:r>
              <w:rPr>
                <w:rFonts w:hint="eastAsia" w:cs="宋体"/>
                <w:color w:val="auto"/>
                <w:kern w:val="2"/>
                <w:sz w:val="24"/>
                <w:szCs w:val="24"/>
                <w:highlight w:val="none"/>
                <w:lang w:val="en-US" w:eastAsia="zh-CN" w:bidi="ar"/>
              </w:rPr>
              <w:t>承诺</w:t>
            </w:r>
            <w:r>
              <w:rPr>
                <w:rFonts w:hint="eastAsia" w:ascii="Times New Roman" w:hAnsi="Times New Roman" w:eastAsia="宋体" w:cs="宋体"/>
                <w:color w:val="auto"/>
                <w:kern w:val="2"/>
                <w:sz w:val="24"/>
                <w:szCs w:val="24"/>
                <w:highlight w:val="none"/>
                <w:lang w:val="en-US" w:eastAsia="zh-CN" w:bidi="ar"/>
              </w:rPr>
              <w:t>进行综合评审：1、</w:t>
            </w:r>
            <w:r>
              <w:rPr>
                <w:rFonts w:hint="eastAsia" w:cs="宋体"/>
                <w:color w:val="auto"/>
                <w:kern w:val="2"/>
                <w:sz w:val="24"/>
                <w:szCs w:val="24"/>
                <w:highlight w:val="none"/>
                <w:lang w:val="en-US" w:eastAsia="zh-CN" w:bidi="ar"/>
              </w:rPr>
              <w:t>承诺到达采购人地址时间</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30分钟的</w:t>
            </w:r>
            <w:r>
              <w:rPr>
                <w:rFonts w:hint="eastAsia" w:ascii="Times New Roman" w:hAnsi="Times New Roman" w:eastAsia="宋体" w:cs="宋体"/>
                <w:color w:val="auto"/>
                <w:kern w:val="2"/>
                <w:sz w:val="24"/>
                <w:szCs w:val="24"/>
                <w:highlight w:val="none"/>
                <w:lang w:val="en-US" w:eastAsia="zh-CN" w:bidi="ar"/>
              </w:rPr>
              <w:t>，得6分；2、</w:t>
            </w:r>
            <w:r>
              <w:rPr>
                <w:rFonts w:hint="eastAsia" w:cs="宋体"/>
                <w:color w:val="auto"/>
                <w:kern w:val="2"/>
                <w:sz w:val="24"/>
                <w:szCs w:val="24"/>
                <w:highlight w:val="none"/>
                <w:lang w:val="en-US" w:eastAsia="zh-CN" w:bidi="ar"/>
              </w:rPr>
              <w:t>30分钟</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承诺到达采购人地址时间</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60分钟</w:t>
            </w:r>
            <w:r>
              <w:rPr>
                <w:rFonts w:hint="eastAsia" w:ascii="Times New Roman" w:hAnsi="Times New Roman" w:eastAsia="宋体" w:cs="宋体"/>
                <w:color w:val="auto"/>
                <w:kern w:val="2"/>
                <w:sz w:val="24"/>
                <w:szCs w:val="24"/>
                <w:highlight w:val="none"/>
                <w:lang w:val="en-US" w:eastAsia="zh-CN" w:bidi="ar"/>
              </w:rPr>
              <w:t>，得4分； 3、</w:t>
            </w:r>
            <w:r>
              <w:rPr>
                <w:rFonts w:hint="eastAsia" w:cs="宋体"/>
                <w:color w:val="auto"/>
                <w:kern w:val="2"/>
                <w:sz w:val="24"/>
                <w:szCs w:val="24"/>
                <w:highlight w:val="none"/>
                <w:lang w:val="en-US" w:eastAsia="zh-CN" w:bidi="ar"/>
              </w:rPr>
              <w:t>60分钟</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承诺到达采购人地址时间</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90分钟</w:t>
            </w:r>
            <w:r>
              <w:rPr>
                <w:rFonts w:hint="eastAsia" w:ascii="Times New Roman" w:hAnsi="Times New Roman" w:eastAsia="宋体" w:cs="宋体"/>
                <w:color w:val="auto"/>
                <w:kern w:val="2"/>
                <w:sz w:val="24"/>
                <w:szCs w:val="24"/>
                <w:highlight w:val="none"/>
                <w:lang w:val="en-US" w:eastAsia="zh-CN" w:bidi="ar"/>
              </w:rPr>
              <w:t>，得2分； 4、</w:t>
            </w:r>
            <w:r>
              <w:rPr>
                <w:rFonts w:hint="eastAsia" w:cs="宋体"/>
                <w:color w:val="auto"/>
                <w:kern w:val="2"/>
                <w:sz w:val="24"/>
                <w:szCs w:val="24"/>
                <w:highlight w:val="none"/>
                <w:lang w:val="en-US" w:eastAsia="zh-CN" w:bidi="ar"/>
              </w:rPr>
              <w:t>承诺到达采购人地址时间</w:t>
            </w:r>
            <w:r>
              <w:rPr>
                <w:rFonts w:hint="eastAsia" w:ascii="Times New Roman" w:hAnsi="Times New Roman"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90分钟</w:t>
            </w:r>
            <w:r>
              <w:rPr>
                <w:rFonts w:hint="eastAsia" w:ascii="Times New Roman" w:hAnsi="Times New Roman" w:eastAsia="宋体" w:cs="宋体"/>
                <w:color w:val="auto"/>
                <w:kern w:val="2"/>
                <w:sz w:val="24"/>
                <w:szCs w:val="24"/>
                <w:highlight w:val="none"/>
                <w:lang w:val="en-US" w:eastAsia="zh-CN" w:bidi="ar"/>
              </w:rPr>
              <w:t>，得1分。 其他情况或不提供不得分。 注：1.须提供</w:t>
            </w:r>
            <w:r>
              <w:rPr>
                <w:rFonts w:hint="eastAsia" w:cs="宋体"/>
                <w:color w:val="auto"/>
                <w:kern w:val="2"/>
                <w:sz w:val="24"/>
                <w:szCs w:val="24"/>
                <w:highlight w:val="none"/>
                <w:lang w:val="en-US" w:eastAsia="zh-CN" w:bidi="ar"/>
              </w:rPr>
              <w:t>服务响应承诺函（格式自拟）</w:t>
            </w:r>
            <w:r>
              <w:rPr>
                <w:rFonts w:hint="eastAsia" w:ascii="宋体" w:hAnsi="宋体" w:eastAsia="宋体" w:cs="宋体"/>
                <w:color w:val="auto"/>
                <w:sz w:val="24"/>
                <w:szCs w:val="24"/>
                <w:highlight w:val="none"/>
                <w:lang w:val="en-US" w:eastAsia="zh-CN"/>
              </w:rPr>
              <w:t>加盖公章</w:t>
            </w:r>
            <w:r>
              <w:rPr>
                <w:rFonts w:hint="eastAsia" w:ascii="Times New Roman" w:hAnsi="Times New Roman" w:eastAsia="宋体" w:cs="宋体"/>
                <w:color w:val="auto"/>
                <w:kern w:val="2"/>
                <w:sz w:val="24"/>
                <w:szCs w:val="24"/>
                <w:highlight w:val="none"/>
                <w:lang w:val="en-US" w:eastAsia="zh-CN" w:bidi="ar"/>
              </w:rPr>
              <w:t xml:space="preserve">。 </w:t>
            </w:r>
            <w:r>
              <w:rPr>
                <w:rFonts w:hint="eastAsia" w:cs="宋体"/>
                <w:color w:val="auto"/>
                <w:kern w:val="2"/>
                <w:sz w:val="24"/>
                <w:szCs w:val="24"/>
                <w:highlight w:val="none"/>
                <w:lang w:val="en-US" w:eastAsia="zh-CN" w:bidi="ar"/>
              </w:rPr>
              <w:t>2.</w:t>
            </w:r>
            <w:r>
              <w:rPr>
                <w:rFonts w:hint="eastAsia" w:ascii="Times New Roman" w:hAnsi="Times New Roman" w:eastAsia="宋体" w:cs="宋体"/>
                <w:color w:val="auto"/>
                <w:kern w:val="2"/>
                <w:sz w:val="24"/>
                <w:szCs w:val="24"/>
                <w:highlight w:val="none"/>
                <w:lang w:val="en-US" w:eastAsia="zh-CN" w:bidi="ar"/>
              </w:rPr>
              <w:t>采购人地点：佛山市禅城区</w:t>
            </w:r>
            <w:r>
              <w:rPr>
                <w:rFonts w:hint="eastAsia" w:cs="宋体"/>
                <w:color w:val="auto"/>
                <w:kern w:val="2"/>
                <w:sz w:val="24"/>
                <w:szCs w:val="24"/>
                <w:highlight w:val="none"/>
                <w:lang w:val="en-US" w:eastAsia="zh-CN" w:bidi="ar"/>
              </w:rPr>
              <w:t>中山6路</w:t>
            </w:r>
            <w:r>
              <w:rPr>
                <w:rFonts w:hint="eastAsia" w:ascii="Times New Roman" w:hAnsi="Times New Roman" w:eastAsia="宋体" w:cs="宋体"/>
                <w:color w:val="auto"/>
                <w:kern w:val="2"/>
                <w:sz w:val="24"/>
                <w:szCs w:val="24"/>
                <w:highlight w:val="none"/>
                <w:lang w:val="en-US" w:eastAsia="zh-CN" w:bidi="ar"/>
              </w:rPr>
              <w:t>。</w:t>
            </w:r>
          </w:p>
        </w:tc>
      </w:tr>
      <w:tr w14:paraId="2B0E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4" w:type="dxa"/>
            <w:noWrap w:val="0"/>
            <w:vAlign w:val="center"/>
          </w:tcPr>
          <w:p w14:paraId="2C298948">
            <w:pPr>
              <w:spacing w:line="288"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2782" w:type="dxa"/>
            <w:noWrap w:val="0"/>
            <w:vAlign w:val="center"/>
          </w:tcPr>
          <w:p w14:paraId="5517F4EC">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同类业绩</w:t>
            </w:r>
          </w:p>
        </w:tc>
        <w:tc>
          <w:tcPr>
            <w:tcW w:w="859" w:type="dxa"/>
            <w:noWrap w:val="0"/>
            <w:vAlign w:val="center"/>
          </w:tcPr>
          <w:p w14:paraId="20591D69">
            <w:pPr>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5325" w:type="dxa"/>
            <w:noWrap w:val="0"/>
            <w:vAlign w:val="center"/>
          </w:tcPr>
          <w:p w14:paraId="619D061D">
            <w:pPr>
              <w:widowControl w:val="0"/>
              <w:spacing w:line="360" w:lineRule="auto"/>
              <w:ind w:firstLine="0" w:firstLineChars="0"/>
              <w:jc w:val="both"/>
              <w:rPr>
                <w:rFonts w:hint="eastAsia" w:ascii="Times New Roman" w:hAnsi="Times New Roman" w:eastAsia="宋体" w:cs="宋体"/>
                <w:color w:val="auto"/>
                <w:kern w:val="2"/>
                <w:sz w:val="24"/>
                <w:szCs w:val="24"/>
                <w:highlight w:val="none"/>
                <w:lang w:val="en-US" w:eastAsia="zh-CN" w:bidi="ar"/>
              </w:rPr>
            </w:pPr>
            <w:r>
              <w:rPr>
                <w:rFonts w:hint="eastAsia" w:ascii="宋体" w:hAnsi="宋体" w:eastAsia="宋体" w:cs="宋体"/>
                <w:color w:val="000000"/>
                <w:kern w:val="2"/>
                <w:sz w:val="24"/>
                <w:szCs w:val="20"/>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
              </w:rPr>
              <w:t>自2021年1月1日至今(以合同签订时间为准)独立完成的同类项目业绩，每提供1个得2分，最高10分。注:须提供相关合同扫描件(须显示项目名称、签约时间、项目主要内容和双方盖章页)并加盖</w:t>
            </w:r>
            <w:r>
              <w:rPr>
                <w:rFonts w:hint="eastAsia" w:ascii="宋体" w:hAnsi="宋体" w:eastAsia="宋体" w:cs="宋体"/>
                <w:color w:val="000000"/>
                <w:kern w:val="2"/>
                <w:sz w:val="24"/>
                <w:szCs w:val="20"/>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
              </w:rPr>
              <w:t>公章。</w:t>
            </w:r>
          </w:p>
        </w:tc>
      </w:tr>
      <w:tr w14:paraId="2E83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4" w:type="dxa"/>
            <w:noWrap w:val="0"/>
            <w:vAlign w:val="center"/>
          </w:tcPr>
          <w:p w14:paraId="7ACCAECE">
            <w:pPr>
              <w:spacing w:line="288"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2782" w:type="dxa"/>
            <w:noWrap w:val="0"/>
            <w:vAlign w:val="center"/>
          </w:tcPr>
          <w:p w14:paraId="056D0D58">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c>
          <w:tcPr>
            <w:tcW w:w="859" w:type="dxa"/>
            <w:noWrap w:val="0"/>
            <w:vAlign w:val="center"/>
          </w:tcPr>
          <w:p w14:paraId="152E8914">
            <w:pPr>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w:t>
            </w:r>
          </w:p>
        </w:tc>
        <w:tc>
          <w:tcPr>
            <w:tcW w:w="5325" w:type="dxa"/>
            <w:noWrap w:val="0"/>
            <w:vAlign w:val="center"/>
          </w:tcPr>
          <w:p w14:paraId="6ED847A5">
            <w:pPr>
              <w:widowControl w:val="0"/>
              <w:spacing w:line="360" w:lineRule="auto"/>
              <w:ind w:firstLine="0" w:firstLineChars="0"/>
              <w:jc w:val="both"/>
              <w:rPr>
                <w:rFonts w:hint="eastAsia" w:ascii="Times New Roman" w:hAnsi="Times New Roman" w:eastAsia="宋体" w:cs="宋体"/>
                <w:color w:val="auto"/>
                <w:kern w:val="2"/>
                <w:sz w:val="24"/>
                <w:szCs w:val="24"/>
                <w:highlight w:val="none"/>
                <w:lang w:val="en-US" w:eastAsia="zh-CN" w:bidi="ar"/>
              </w:rPr>
            </w:pPr>
            <w:r>
              <w:rPr>
                <w:rFonts w:hint="eastAsia" w:ascii="宋体" w:hAnsi="宋体" w:eastAsia="宋体" w:cs="宋体"/>
                <w:color w:val="000000"/>
                <w:kern w:val="2"/>
                <w:sz w:val="24"/>
                <w:szCs w:val="20"/>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
              </w:rPr>
              <w:t>获得过人民政府或行政主管部门等相关单位颁发与本项目相关的企业荣誉或奖项的，每提供一个得3分，本项最高得9分。注:提供上述相关证书(奖项)的扫描件并加盖供应商公章，不提供不得分。</w:t>
            </w:r>
          </w:p>
        </w:tc>
      </w:tr>
    </w:tbl>
    <w:p w14:paraId="6BF4208E">
      <w:pPr>
        <w:spacing w:line="288" w:lineRule="auto"/>
        <w:rPr>
          <w:rFonts w:hint="eastAsia"/>
          <w:color w:val="auto"/>
          <w:highlight w:val="none"/>
        </w:rPr>
      </w:pPr>
    </w:p>
    <w:p w14:paraId="6E540BBD">
      <w:pPr>
        <w:numPr>
          <w:ilvl w:val="0"/>
          <w:numId w:val="43"/>
        </w:numPr>
        <w:tabs>
          <w:tab w:val="left" w:pos="540"/>
        </w:tabs>
        <w:snapToGrid w:val="0"/>
        <w:spacing w:line="360" w:lineRule="auto"/>
        <w:ind w:left="510" w:hanging="510"/>
        <w:rPr>
          <w:rFonts w:hint="eastAsia"/>
          <w:color w:val="auto"/>
          <w:highlight w:val="none"/>
          <w:lang w:val="en-GB"/>
        </w:rPr>
      </w:pPr>
      <w:r>
        <w:rPr>
          <w:rFonts w:hint="eastAsia" w:ascii="宋体" w:hAnsi="宋体"/>
          <w:b/>
          <w:color w:val="auto"/>
          <w:highlight w:val="none"/>
          <w:lang w:val="en-GB"/>
        </w:rPr>
        <w:t>价格部分评审标准</w:t>
      </w:r>
    </w:p>
    <w:p w14:paraId="4F8EC3C2">
      <w:pPr>
        <w:numPr>
          <w:ilvl w:val="0"/>
          <w:numId w:val="0"/>
        </w:numPr>
        <w:tabs>
          <w:tab w:val="left" w:pos="540"/>
        </w:tabs>
        <w:spacing w:line="360" w:lineRule="auto"/>
        <w:ind w:leftChars="0"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经</w:t>
      </w:r>
      <w:r>
        <w:rPr>
          <w:rFonts w:hint="eastAsia" w:ascii="宋体" w:hAnsi="宋体" w:cs="宋体"/>
          <w:color w:val="auto"/>
          <w:szCs w:val="24"/>
          <w:highlight w:val="none"/>
          <w:lang w:val="en-US" w:eastAsia="zh-CN"/>
        </w:rPr>
        <w:t>评标小组</w:t>
      </w:r>
      <w:r>
        <w:rPr>
          <w:rFonts w:hint="eastAsia" w:ascii="宋体" w:hAnsi="宋体" w:cs="宋体"/>
          <w:color w:val="auto"/>
          <w:szCs w:val="24"/>
          <w:highlight w:val="none"/>
          <w:lang w:val="en-GB"/>
        </w:rPr>
        <w:t>审核，满足竞争性磋商文件要求</w:t>
      </w:r>
      <w:r>
        <w:rPr>
          <w:rFonts w:hint="eastAsia" w:ascii="宋体" w:hAnsi="宋体" w:cs="宋体"/>
          <w:color w:val="auto"/>
          <w:szCs w:val="24"/>
          <w:highlight w:val="none"/>
          <w:lang w:val="en-US" w:eastAsia="zh-CN"/>
        </w:rPr>
        <w:t>的所有报价中</w:t>
      </w:r>
      <w:r>
        <w:rPr>
          <w:rFonts w:hint="eastAsia" w:ascii="宋体" w:hAnsi="宋体" w:cs="宋体"/>
          <w:color w:val="auto"/>
          <w:szCs w:val="24"/>
          <w:highlight w:val="none"/>
          <w:lang w:val="en-GB"/>
        </w:rPr>
        <w:t>，以</w:t>
      </w:r>
      <w:r>
        <w:rPr>
          <w:rFonts w:hint="eastAsia" w:ascii="宋体" w:hAnsi="宋体" w:cs="宋体"/>
          <w:color w:val="auto"/>
          <w:szCs w:val="24"/>
          <w:highlight w:val="none"/>
          <w:lang w:val="en-US" w:eastAsia="zh-CN"/>
        </w:rPr>
        <w:t>评标</w:t>
      </w:r>
      <w:r>
        <w:rPr>
          <w:rFonts w:hint="eastAsia" w:ascii="宋体" w:hAnsi="宋体" w:cs="宋体"/>
          <w:color w:val="auto"/>
          <w:szCs w:val="24"/>
          <w:highlight w:val="none"/>
          <w:lang w:val="en-GB"/>
        </w:rPr>
        <w:t>价格的最低价者定为评标基准价，其价格分为满分。其他供应商的价格分统一按下列公式折算递减。即：</w:t>
      </w:r>
    </w:p>
    <w:p w14:paraId="2793C1C1">
      <w:pPr>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评标基准价=评审价格的最低价=满</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分</w:t>
      </w:r>
    </w:p>
    <w:p w14:paraId="6A4EE264">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其他报价得分=（评标基准价÷评标价格）×价格部分分值</w:t>
      </w:r>
    </w:p>
    <w:p w14:paraId="1CA3EE66">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（评标价格、评标基准价均精确到两位小数）</w:t>
      </w:r>
    </w:p>
    <w:p w14:paraId="49104EB6">
      <w:pPr>
        <w:tabs>
          <w:tab w:val="left" w:pos="540"/>
        </w:tabs>
        <w:spacing w:line="360" w:lineRule="auto"/>
        <w:rPr>
          <w:rFonts w:hint="eastAsia" w:ascii="宋体" w:hAnsi="宋体"/>
          <w:color w:val="auto"/>
          <w:highlight w:val="none"/>
          <w:lang w:val="en-GB"/>
        </w:rPr>
      </w:pPr>
    </w:p>
    <w:p w14:paraId="40B2D4D2">
      <w:pPr>
        <w:keepNext/>
        <w:keepLines/>
        <w:widowControl w:val="0"/>
        <w:jc w:val="center"/>
        <w:outlineLvl w:val="1"/>
        <w:rPr>
          <w:rFonts w:ascii="Cambria" w:hAnsi="Cambria" w:eastAsia="宋体" w:cs="Times New Roman"/>
          <w:b/>
          <w:bCs/>
          <w:color w:val="auto"/>
          <w:kern w:val="2"/>
          <w:sz w:val="32"/>
          <w:szCs w:val="32"/>
          <w:highlight w:val="none"/>
          <w:lang w:val="en-US" w:eastAsia="zh-CN" w:bidi="ar-SA"/>
        </w:rPr>
      </w:pPr>
      <w:bookmarkStart w:id="83" w:name="_Toc412904431"/>
      <w:bookmarkStart w:id="84" w:name="_Toc20856"/>
      <w:r>
        <w:rPr>
          <w:rFonts w:hint="eastAsia" w:ascii="Cambria" w:hAnsi="Cambria" w:eastAsia="宋体" w:cs="Times New Roman"/>
          <w:b/>
          <w:bCs/>
          <w:color w:val="auto"/>
          <w:kern w:val="2"/>
          <w:sz w:val="32"/>
          <w:szCs w:val="32"/>
          <w:highlight w:val="none"/>
          <w:lang w:val="en-US" w:eastAsia="zh-CN" w:bidi="ar-SA"/>
        </w:rPr>
        <w:br w:type="page"/>
      </w:r>
      <w:r>
        <w:rPr>
          <w:rFonts w:hint="eastAsia" w:ascii="Cambria" w:hAnsi="Cambria" w:eastAsia="宋体" w:cs="Times New Roman"/>
          <w:b/>
          <w:bCs/>
          <w:color w:val="auto"/>
          <w:kern w:val="2"/>
          <w:sz w:val="32"/>
          <w:szCs w:val="32"/>
          <w:highlight w:val="none"/>
          <w:lang w:val="en-US" w:eastAsia="zh-CN" w:bidi="ar-SA"/>
        </w:rPr>
        <w:t>七、确定结果</w:t>
      </w:r>
      <w:bookmarkEnd w:id="83"/>
      <w:r>
        <w:rPr>
          <w:rFonts w:hint="eastAsia" w:ascii="Cambria" w:hAnsi="Cambria" w:eastAsia="宋体" w:cs="Times New Roman"/>
          <w:b/>
          <w:bCs/>
          <w:color w:val="auto"/>
          <w:kern w:val="2"/>
          <w:sz w:val="32"/>
          <w:szCs w:val="32"/>
          <w:highlight w:val="none"/>
          <w:lang w:val="en-US" w:eastAsia="zh-CN" w:bidi="ar-SA"/>
        </w:rPr>
        <w:t>及后续</w:t>
      </w:r>
      <w:bookmarkEnd w:id="84"/>
    </w:p>
    <w:p w14:paraId="48FD95BA">
      <w:pPr>
        <w:numPr>
          <w:ilvl w:val="0"/>
          <w:numId w:val="45"/>
        </w:numPr>
        <w:tabs>
          <w:tab w:val="left" w:pos="540"/>
        </w:tabs>
        <w:snapToGrid w:val="0"/>
        <w:spacing w:line="360" w:lineRule="auto"/>
        <w:ind w:left="510" w:hanging="510"/>
        <w:rPr>
          <w:rFonts w:ascii="宋体" w:hAnsi="宋体"/>
          <w:b/>
          <w:color w:val="auto"/>
          <w:highlight w:val="none"/>
          <w:lang w:val="en-GB"/>
        </w:rPr>
      </w:pPr>
      <w:bookmarkStart w:id="85" w:name="_Toc163374508"/>
      <w:bookmarkStart w:id="86" w:name="_Toc157583146"/>
      <w:bookmarkStart w:id="87" w:name="_Toc157580086"/>
      <w:bookmarkStart w:id="88" w:name="_Toc185067997"/>
      <w:bookmarkStart w:id="89" w:name="_Toc26261453"/>
      <w:bookmarkStart w:id="90" w:name="_Toc34704912"/>
      <w:bookmarkStart w:id="91" w:name="_Toc25726406"/>
      <w:r>
        <w:rPr>
          <w:rFonts w:hint="eastAsia" w:ascii="宋体" w:hAnsi="宋体"/>
          <w:b/>
          <w:color w:val="auto"/>
          <w:highlight w:val="none"/>
          <w:lang w:val="en-GB"/>
        </w:rPr>
        <w:t>成交资格的</w:t>
      </w:r>
      <w:bookmarkEnd w:id="85"/>
      <w:bookmarkEnd w:id="86"/>
      <w:bookmarkEnd w:id="87"/>
      <w:bookmarkEnd w:id="88"/>
      <w:r>
        <w:rPr>
          <w:rFonts w:hint="eastAsia" w:ascii="宋体" w:hAnsi="宋体"/>
          <w:b/>
          <w:color w:val="auto"/>
          <w:highlight w:val="none"/>
          <w:lang w:val="en-GB"/>
        </w:rPr>
        <w:t>确定</w:t>
      </w:r>
    </w:p>
    <w:p w14:paraId="7376144A">
      <w:pPr>
        <w:tabs>
          <w:tab w:val="left" w:pos="720"/>
        </w:tabs>
        <w:snapToGrid w:val="0"/>
        <w:spacing w:line="360" w:lineRule="auto"/>
        <w:ind w:right="17" w:firstLine="540" w:firstLineChars="225"/>
        <w:rPr>
          <w:rFonts w:hint="eastAsia" w:ascii="宋体" w:hAnsi="宋体"/>
          <w:color w:val="auto"/>
          <w:highlight w:val="none"/>
          <w:lang w:val="zh-CN"/>
        </w:rPr>
      </w:pPr>
      <w:r>
        <w:rPr>
          <w:rFonts w:hint="eastAsia" w:ascii="宋体" w:hAnsi="宋体"/>
          <w:color w:val="auto"/>
          <w:highlight w:val="none"/>
          <w:lang w:val="zh-CN"/>
        </w:rPr>
        <w:t>采购人在法定时间内对评审推荐结果进行确认。采购代理机构将在评审结束后，向采购人提交评审推荐意见，采购人依法确定成交供应商</w:t>
      </w:r>
      <w:r>
        <w:rPr>
          <w:rFonts w:hint="eastAsia" w:ascii="宋体" w:hAnsi="宋体"/>
          <w:b/>
          <w:color w:val="auto"/>
          <w:highlight w:val="none"/>
          <w:lang w:val="zh-CN"/>
        </w:rPr>
        <w:t>（成交供应商数量：详见《供应商须知前附表》）</w:t>
      </w:r>
      <w:r>
        <w:rPr>
          <w:rFonts w:hint="eastAsia" w:ascii="宋体" w:hAnsi="宋体"/>
          <w:color w:val="auto"/>
          <w:highlight w:val="none"/>
          <w:lang w:val="zh-CN"/>
        </w:rPr>
        <w:t>。</w:t>
      </w:r>
    </w:p>
    <w:bookmarkEnd w:id="89"/>
    <w:bookmarkEnd w:id="90"/>
    <w:bookmarkEnd w:id="91"/>
    <w:p w14:paraId="28B98D12">
      <w:pPr>
        <w:numPr>
          <w:ilvl w:val="0"/>
          <w:numId w:val="45"/>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替补候选人的适用情形</w:t>
      </w:r>
    </w:p>
    <w:p w14:paraId="7428B925">
      <w:pPr>
        <w:tabs>
          <w:tab w:val="left" w:pos="1680"/>
        </w:tabs>
        <w:snapToGrid w:val="0"/>
        <w:spacing w:line="360" w:lineRule="auto"/>
        <w:ind w:firstLine="480" w:firstLineChars="200"/>
        <w:rPr>
          <w:rFonts w:hint="eastAsia" w:ascii="宋体" w:hAnsi="宋体"/>
          <w:color w:val="auto"/>
          <w:highlight w:val="none"/>
          <w:lang w:val="zh-CN"/>
        </w:rPr>
      </w:pPr>
      <w:r>
        <w:rPr>
          <w:rFonts w:hint="eastAsia" w:ascii="宋体" w:hAnsi="宋体"/>
          <w:color w:val="auto"/>
          <w:highlight w:val="none"/>
          <w:lang w:val="zh-CN"/>
        </w:rPr>
        <w:t>成交供应商拒绝与采购人签订合同的，采购人可以重新开展采购活动。</w:t>
      </w:r>
    </w:p>
    <w:p w14:paraId="304E1511">
      <w:pPr>
        <w:numPr>
          <w:ilvl w:val="0"/>
          <w:numId w:val="45"/>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成交通知</w:t>
      </w:r>
    </w:p>
    <w:p w14:paraId="40B60C17">
      <w:pPr>
        <w:numPr>
          <w:ilvl w:val="0"/>
          <w:numId w:val="4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成交结果</w:t>
      </w:r>
      <w:r>
        <w:rPr>
          <w:rFonts w:ascii="宋体" w:hAnsi="宋体"/>
          <w:color w:val="auto"/>
          <w:highlight w:val="none"/>
          <w:lang w:val="en-GB"/>
        </w:rPr>
        <w:t>将</w:t>
      </w:r>
      <w:r>
        <w:rPr>
          <w:rFonts w:hint="eastAsia" w:ascii="宋体" w:hAnsi="宋体"/>
          <w:color w:val="auto"/>
          <w:highlight w:val="none"/>
          <w:lang w:val="en-GB"/>
        </w:rPr>
        <w:t>发布</w:t>
      </w:r>
      <w:r>
        <w:rPr>
          <w:rFonts w:ascii="宋体" w:hAnsi="宋体"/>
          <w:color w:val="auto"/>
          <w:highlight w:val="none"/>
          <w:lang w:val="en-GB"/>
        </w:rPr>
        <w:t>在</w:t>
      </w:r>
      <w:r>
        <w:rPr>
          <w:rFonts w:hint="eastAsia" w:ascii="宋体" w:hAnsi="宋体"/>
          <w:color w:val="auto"/>
          <w:highlight w:val="none"/>
          <w:lang w:val="en-GB"/>
        </w:rPr>
        <w:t>磋商文件指定媒体</w:t>
      </w:r>
      <w:r>
        <w:rPr>
          <w:rFonts w:ascii="宋体" w:hAnsi="宋体"/>
          <w:color w:val="auto"/>
          <w:highlight w:val="none"/>
          <w:lang w:val="en-GB"/>
        </w:rPr>
        <w:t>，</w:t>
      </w:r>
      <w:r>
        <w:rPr>
          <w:rFonts w:hint="eastAsia" w:ascii="宋体" w:hAnsi="宋体"/>
          <w:color w:val="auto"/>
          <w:highlight w:val="none"/>
          <w:lang w:val="en-GB"/>
        </w:rPr>
        <w:t>同时，采购代理机构将</w:t>
      </w:r>
      <w:r>
        <w:rPr>
          <w:rFonts w:ascii="宋体" w:hAnsi="宋体"/>
          <w:color w:val="auto"/>
          <w:highlight w:val="none"/>
          <w:lang w:val="en-GB"/>
        </w:rPr>
        <w:t>向</w:t>
      </w:r>
      <w:r>
        <w:rPr>
          <w:rFonts w:hint="eastAsia" w:ascii="宋体" w:hAnsi="宋体"/>
          <w:color w:val="auto"/>
          <w:highlight w:val="none"/>
          <w:lang w:val="en-GB"/>
        </w:rPr>
        <w:t>成交供应商</w:t>
      </w:r>
      <w:r>
        <w:rPr>
          <w:rFonts w:ascii="宋体" w:hAnsi="宋体"/>
          <w:color w:val="auto"/>
          <w:highlight w:val="none"/>
          <w:lang w:val="en-GB"/>
        </w:rPr>
        <w:t>签发《成交通知书》。</w:t>
      </w:r>
    </w:p>
    <w:p w14:paraId="7562EF6F">
      <w:pPr>
        <w:numPr>
          <w:ilvl w:val="0"/>
          <w:numId w:val="4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《成交通知书》将作为授予合同资格的唯一合法依据。</w:t>
      </w:r>
    </w:p>
    <w:p w14:paraId="357CF721">
      <w:pPr>
        <w:numPr>
          <w:ilvl w:val="0"/>
          <w:numId w:val="46"/>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在未取得合法理由而获批复前，成交供应商擅自放弃成交资格，则须承担相应的违约处罚责任，并赔偿采购人由此所造成的一切经济损失。</w:t>
      </w:r>
    </w:p>
    <w:p w14:paraId="4957CD25">
      <w:pPr>
        <w:numPr>
          <w:ilvl w:val="0"/>
          <w:numId w:val="45"/>
        </w:numPr>
        <w:tabs>
          <w:tab w:val="left" w:pos="540"/>
        </w:tabs>
        <w:snapToGrid w:val="0"/>
        <w:spacing w:line="360" w:lineRule="auto"/>
        <w:ind w:left="510" w:hanging="510"/>
        <w:rPr>
          <w:rFonts w:ascii="宋体" w:hAnsi="宋体"/>
          <w:b/>
          <w:color w:val="auto"/>
          <w:highlight w:val="none"/>
          <w:lang w:val="en-GB"/>
        </w:rPr>
      </w:pPr>
      <w:r>
        <w:rPr>
          <w:rFonts w:hint="eastAsia" w:ascii="宋体" w:hAnsi="宋体"/>
          <w:b/>
          <w:color w:val="auto"/>
          <w:highlight w:val="none"/>
          <w:lang w:val="en-GB"/>
        </w:rPr>
        <w:t>成交服务费（招标代理费</w:t>
      </w:r>
      <w:r>
        <w:rPr>
          <w:rFonts w:ascii="宋体" w:hAnsi="宋体"/>
          <w:b/>
          <w:color w:val="auto"/>
          <w:highlight w:val="none"/>
          <w:lang w:val="en-GB"/>
        </w:rPr>
        <w:t>）</w:t>
      </w:r>
    </w:p>
    <w:p w14:paraId="70A22745">
      <w:pPr>
        <w:numPr>
          <w:ilvl w:val="0"/>
          <w:numId w:val="47"/>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w:t>
      </w:r>
      <w:r>
        <w:rPr>
          <w:rFonts w:ascii="宋体" w:hAnsi="宋体"/>
          <w:color w:val="auto"/>
          <w:highlight w:val="none"/>
          <w:lang w:val="en-GB"/>
        </w:rPr>
        <w:t>供应商须按收费标准，在领取</w:t>
      </w:r>
      <w:r>
        <w:rPr>
          <w:rFonts w:hint="eastAsia" w:ascii="宋体" w:hAnsi="宋体"/>
          <w:color w:val="auto"/>
          <w:highlight w:val="none"/>
          <w:lang w:val="en-GB"/>
        </w:rPr>
        <w:t>《成交</w:t>
      </w:r>
      <w:r>
        <w:rPr>
          <w:rFonts w:ascii="宋体" w:hAnsi="宋体"/>
          <w:color w:val="auto"/>
          <w:highlight w:val="none"/>
          <w:lang w:val="en-GB"/>
        </w:rPr>
        <w:t>通知书</w:t>
      </w:r>
      <w:r>
        <w:rPr>
          <w:rFonts w:hint="eastAsia" w:ascii="宋体" w:hAnsi="宋体"/>
          <w:color w:val="auto"/>
          <w:highlight w:val="none"/>
          <w:lang w:val="en-GB"/>
        </w:rPr>
        <w:t>》</w:t>
      </w:r>
      <w:r>
        <w:rPr>
          <w:rFonts w:ascii="宋体" w:hAnsi="宋体"/>
          <w:color w:val="auto"/>
          <w:highlight w:val="none"/>
          <w:lang w:val="en-GB"/>
        </w:rPr>
        <w:t>前以银行转账方式一次性向</w:t>
      </w:r>
      <w:r>
        <w:rPr>
          <w:rFonts w:hint="eastAsia" w:ascii="宋体" w:hAnsi="宋体"/>
          <w:color w:val="auto"/>
          <w:highlight w:val="none"/>
          <w:lang w:val="en-GB"/>
        </w:rPr>
        <w:t>招标代理</w:t>
      </w:r>
      <w:r>
        <w:rPr>
          <w:rFonts w:ascii="宋体" w:hAnsi="宋体"/>
          <w:color w:val="auto"/>
          <w:highlight w:val="none"/>
          <w:lang w:val="en-GB"/>
        </w:rPr>
        <w:t>机构缴纳相应的</w:t>
      </w:r>
      <w:r>
        <w:rPr>
          <w:rFonts w:hint="eastAsia" w:ascii="宋体" w:hAnsi="宋体"/>
          <w:color w:val="auto"/>
          <w:highlight w:val="none"/>
          <w:lang w:val="en-GB"/>
        </w:rPr>
        <w:t>成交</w:t>
      </w:r>
      <w:r>
        <w:rPr>
          <w:rFonts w:ascii="宋体" w:hAnsi="宋体"/>
          <w:color w:val="auto"/>
          <w:highlight w:val="none"/>
          <w:lang w:val="en-GB"/>
        </w:rPr>
        <w:t>服务费。</w:t>
      </w:r>
    </w:p>
    <w:p w14:paraId="5C73E551">
      <w:pPr>
        <w:numPr>
          <w:ilvl w:val="0"/>
          <w:numId w:val="47"/>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成交服务费由成交供应商支付。若无规定，成交服务费应含在投标报价范畴中，但不单列，供应商报价时应考虑此项费用。成交服务费交纳后即为固定金额，成交额（或合同价）的增减，将不影响成交服务费的增减。</w:t>
      </w:r>
    </w:p>
    <w:p w14:paraId="3B5ADD5A">
      <w:pPr>
        <w:numPr>
          <w:ilvl w:val="0"/>
          <w:numId w:val="45"/>
        </w:numPr>
        <w:tabs>
          <w:tab w:val="left" w:pos="540"/>
        </w:tabs>
        <w:snapToGrid w:val="0"/>
        <w:spacing w:line="360" w:lineRule="auto"/>
        <w:ind w:left="510" w:hanging="510"/>
        <w:rPr>
          <w:rFonts w:hint="eastAsia" w:ascii="宋体" w:hAnsi="宋体"/>
          <w:b/>
          <w:color w:val="auto"/>
          <w:highlight w:val="none"/>
          <w:lang w:val="en-GB"/>
        </w:rPr>
      </w:pPr>
      <w:r>
        <w:rPr>
          <w:rFonts w:hint="eastAsia" w:ascii="宋体" w:hAnsi="宋体"/>
          <w:b/>
          <w:color w:val="auto"/>
          <w:highlight w:val="none"/>
          <w:lang w:val="en-GB"/>
        </w:rPr>
        <w:t>合同签订、争议与跟踪</w:t>
      </w:r>
    </w:p>
    <w:p w14:paraId="2C8312F0">
      <w:pPr>
        <w:numPr>
          <w:ilvl w:val="0"/>
          <w:numId w:val="4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采购人与成交供应商自成交通知书发出之日起</w:t>
      </w:r>
      <w:r>
        <w:rPr>
          <w:rFonts w:hint="eastAsia" w:ascii="宋体" w:hAnsi="宋体"/>
          <w:b/>
          <w:color w:val="auto"/>
          <w:highlight w:val="none"/>
          <w:lang w:val="en-GB" w:eastAsia="zh-CN"/>
        </w:rPr>
        <w:t>二十日</w:t>
      </w:r>
      <w:r>
        <w:rPr>
          <w:rFonts w:hint="eastAsia" w:ascii="宋体" w:hAnsi="宋体"/>
          <w:color w:val="auto"/>
          <w:highlight w:val="none"/>
          <w:lang w:val="en-GB"/>
        </w:rPr>
        <w:t>内，按磋商文件要求和成交供应商响应文件承诺签订政府采购合同，但不得超出磋商文件和成交供应商响应文件的范围、也不得再行订立背离合同实质性内容的其他协议。</w:t>
      </w:r>
    </w:p>
    <w:p w14:paraId="27878DF8">
      <w:pPr>
        <w:numPr>
          <w:ilvl w:val="0"/>
          <w:numId w:val="4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磋商文件、响应文件、相关澄清材料及来往确认文件，均作为合同订立和裁定争议的依据，对这些文件个别条款要约的理解存有歧义、偏差、含糊、疏漏等情形时，一切以能够实现项目的功能效果和设计目标为前提，均以采购人的理解判断为准。</w:t>
      </w:r>
    </w:p>
    <w:p w14:paraId="28903339">
      <w:pPr>
        <w:numPr>
          <w:ilvl w:val="0"/>
          <w:numId w:val="4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在不违背原采购方案要求和各方认可的文件内容前提下，合同当事人可对合同范本中个别非实质性条款共同协商完善补充修正。</w:t>
      </w:r>
    </w:p>
    <w:p w14:paraId="6EE2BE65">
      <w:pPr>
        <w:numPr>
          <w:ilvl w:val="0"/>
          <w:numId w:val="48"/>
        </w:numPr>
        <w:tabs>
          <w:tab w:val="left" w:pos="540"/>
        </w:tabs>
        <w:snapToGrid w:val="0"/>
        <w:spacing w:line="360" w:lineRule="auto"/>
        <w:ind w:left="510" w:hanging="510"/>
        <w:rPr>
          <w:rFonts w:hint="eastAsia" w:ascii="宋体" w:hAnsi="宋体"/>
          <w:color w:val="auto"/>
          <w:highlight w:val="none"/>
          <w:lang w:val="en-GB"/>
        </w:rPr>
      </w:pPr>
      <w:r>
        <w:rPr>
          <w:rFonts w:hint="eastAsia" w:ascii="宋体" w:hAnsi="宋体"/>
          <w:color w:val="auto"/>
          <w:highlight w:val="none"/>
          <w:lang w:val="en-GB"/>
        </w:rPr>
        <w:t>合同生效后一切行为均适用于《中华人民共和国</w:t>
      </w:r>
      <w:r>
        <w:rPr>
          <w:rFonts w:hint="eastAsia" w:ascii="宋体" w:hAnsi="宋体"/>
          <w:color w:val="auto"/>
          <w:highlight w:val="none"/>
          <w:lang w:val="en-US" w:eastAsia="zh-CN"/>
        </w:rPr>
        <w:t>民法典</w:t>
      </w:r>
      <w:r>
        <w:rPr>
          <w:rFonts w:hint="eastAsia" w:ascii="宋体" w:hAnsi="宋体"/>
          <w:color w:val="auto"/>
          <w:highlight w:val="none"/>
          <w:lang w:val="en-GB"/>
        </w:rPr>
        <w:t>》，履约期间有违约过错的一方，须承担相应的责任。</w:t>
      </w:r>
    </w:p>
    <w:p w14:paraId="6971F907">
      <w:pPr>
        <w:numPr>
          <w:ilvl w:val="0"/>
          <w:numId w:val="49"/>
        </w:numPr>
        <w:tabs>
          <w:tab w:val="left" w:pos="540"/>
        </w:tabs>
        <w:snapToGrid w:val="0"/>
        <w:spacing w:line="360" w:lineRule="auto"/>
        <w:ind w:left="510" w:hanging="510"/>
        <w:rPr>
          <w:rFonts w:hint="eastAsia" w:ascii="宋体" w:hAnsi="宋体"/>
          <w:b/>
          <w:color w:val="auto"/>
          <w:highlight w:val="none"/>
          <w:lang w:val="en-GB"/>
        </w:rPr>
      </w:pPr>
      <w:bookmarkStart w:id="92" w:name="_Toc433127783"/>
      <w:r>
        <w:rPr>
          <w:rFonts w:hint="eastAsia" w:ascii="宋体" w:hAnsi="宋体"/>
          <w:b/>
          <w:color w:val="auto"/>
          <w:highlight w:val="none"/>
          <w:lang w:val="en-GB"/>
        </w:rPr>
        <w:t>询问、质疑、投诉</w:t>
      </w:r>
      <w:bookmarkEnd w:id="92"/>
    </w:p>
    <w:p w14:paraId="7FD92C45">
      <w:pPr>
        <w:numPr>
          <w:ilvl w:val="0"/>
          <w:numId w:val="50"/>
        </w:numPr>
        <w:tabs>
          <w:tab w:val="left" w:pos="540"/>
        </w:tabs>
        <w:snapToGrid w:val="0"/>
        <w:spacing w:line="360" w:lineRule="auto"/>
        <w:ind w:left="510" w:hanging="510"/>
        <w:rPr>
          <w:rFonts w:ascii="宋体" w:hAnsi="宋体" w:cs="宋体"/>
          <w:szCs w:val="24"/>
          <w:highlight w:val="none"/>
          <w:lang w:val="en-GB"/>
        </w:rPr>
      </w:pPr>
      <w:r>
        <w:rPr>
          <w:rFonts w:hint="eastAsia" w:ascii="宋体" w:hAnsi="宋体" w:cs="宋体"/>
          <w:szCs w:val="24"/>
          <w:highlight w:val="none"/>
          <w:lang w:val="en-GB"/>
        </w:rPr>
        <w:t>询问</w:t>
      </w:r>
    </w:p>
    <w:p w14:paraId="6808D467">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①供应商对政府采购活动事项有疑问的，可以向招标采购单位提出询问，询问可以口头方式提出，也可以书面方式提出。招标采购单位在三个工作日内对供应商依法提出的询问作出答复。</w:t>
      </w:r>
    </w:p>
    <w:p w14:paraId="6939BC84">
      <w:pPr>
        <w:numPr>
          <w:ilvl w:val="0"/>
          <w:numId w:val="50"/>
        </w:numPr>
        <w:tabs>
          <w:tab w:val="left" w:pos="540"/>
        </w:tabs>
        <w:snapToGrid w:val="0"/>
        <w:spacing w:line="360" w:lineRule="auto"/>
        <w:ind w:left="510" w:hanging="510"/>
        <w:rPr>
          <w:rFonts w:ascii="宋体" w:hAnsi="宋体" w:cs="宋体"/>
          <w:szCs w:val="24"/>
          <w:highlight w:val="none"/>
          <w:lang w:val="en-GB"/>
        </w:rPr>
      </w:pPr>
      <w:r>
        <w:rPr>
          <w:rFonts w:hint="eastAsia" w:ascii="宋体" w:hAnsi="宋体" w:cs="宋体"/>
          <w:szCs w:val="24"/>
          <w:highlight w:val="none"/>
          <w:lang w:val="en-GB"/>
        </w:rPr>
        <w:t>质疑</w:t>
      </w:r>
    </w:p>
    <w:p w14:paraId="55218A52">
      <w:pPr>
        <w:tabs>
          <w:tab w:val="left" w:pos="540"/>
        </w:tabs>
        <w:snapToGrid w:val="0"/>
        <w:spacing w:line="360" w:lineRule="auto"/>
        <w:rPr>
          <w:rFonts w:ascii="宋体" w:hAnsi="宋体" w:cs="宋体"/>
          <w:szCs w:val="24"/>
          <w:highlight w:val="none"/>
          <w:lang w:val="en-GB"/>
        </w:rPr>
      </w:pPr>
      <w:r>
        <w:rPr>
          <w:rFonts w:hint="eastAsia" w:ascii="宋体" w:hAnsi="宋体" w:cs="宋体"/>
          <w:szCs w:val="24"/>
          <w:highlight w:val="none"/>
          <w:lang w:val="en-GB"/>
        </w:rPr>
        <w:t>质疑期限：</w:t>
      </w:r>
    </w:p>
    <w:p w14:paraId="24F9F748">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①供应商认为磋商文件的内容损害其权益的，应在收到磋商文件之日或者磋商文件公告期届满之日起七个工作日内。</w:t>
      </w:r>
    </w:p>
    <w:p w14:paraId="739C4C26">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②供应商认为采购过程损害其权益的，应在各采购程序环节结束之日起七个工作日内。</w:t>
      </w:r>
    </w:p>
    <w:p w14:paraId="03D38AE8">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③供应商认为中标或者成交结果损害其权益的，应在中标或者成交结果公告期限届满之日起七个工作日内。</w:t>
      </w:r>
    </w:p>
    <w:p w14:paraId="25FB7CFA">
      <w:pPr>
        <w:numPr>
          <w:ilvl w:val="0"/>
          <w:numId w:val="50"/>
        </w:numPr>
        <w:tabs>
          <w:tab w:val="left" w:pos="540"/>
        </w:tabs>
        <w:snapToGrid w:val="0"/>
        <w:spacing w:line="360" w:lineRule="auto"/>
        <w:ind w:left="510" w:hanging="510"/>
        <w:rPr>
          <w:rFonts w:ascii="宋体" w:hAnsi="宋体" w:cs="宋体"/>
          <w:szCs w:val="24"/>
          <w:highlight w:val="none"/>
          <w:lang w:val="en-GB"/>
        </w:rPr>
      </w:pPr>
      <w:r>
        <w:rPr>
          <w:rFonts w:hint="eastAsia" w:ascii="宋体" w:hAnsi="宋体" w:cs="宋体"/>
          <w:szCs w:val="24"/>
          <w:highlight w:val="none"/>
          <w:lang w:val="en-GB"/>
        </w:rPr>
        <w:t>提交要求：</w:t>
      </w:r>
    </w:p>
    <w:p w14:paraId="47738B9B">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①以书面形式（加盖供应商公章，供应商以电话、传真或电邮形式提交的质疑属于无效质疑）向招标采购单位提出质疑。</w:t>
      </w:r>
    </w:p>
    <w:p w14:paraId="5FEF10F6">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②质疑书内容：应包括具体的质疑事项、事实依据及相关确凿的证明材料、明确的请求、供应商名称及地址、授权代表姓名及其联系电话、质疑时间。质疑书应当署名并由法定代表人或授权代表签字并加盖公章。供应商递交质疑书时需提供质疑书原件、法定代表人授权委托书（应载明委托代理的具体权限及事项）及授权代表身份证复印件。</w:t>
      </w:r>
    </w:p>
    <w:p w14:paraId="786221DD">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③供应商质疑应当有明确的请求和必要的证明材料，捏造事实、提供虚假材料或者以非法手段取得证明材料不能作为质疑的证明材料。</w:t>
      </w:r>
    </w:p>
    <w:p w14:paraId="48E741C1">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④招标采购单位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4246F5EB">
      <w:pPr>
        <w:tabs>
          <w:tab w:val="left" w:pos="540"/>
        </w:tabs>
        <w:snapToGrid w:val="0"/>
        <w:spacing w:line="360" w:lineRule="auto"/>
        <w:ind w:firstLine="480" w:firstLineChars="200"/>
        <w:rPr>
          <w:rFonts w:ascii="宋体" w:hAnsi="宋体" w:cs="宋体"/>
          <w:szCs w:val="24"/>
          <w:highlight w:val="none"/>
          <w:lang w:val="en-GB"/>
        </w:rPr>
      </w:pPr>
      <w:r>
        <w:rPr>
          <w:rFonts w:hint="eastAsia" w:ascii="宋体" w:hAnsi="宋体" w:cs="宋体"/>
          <w:szCs w:val="24"/>
          <w:highlight w:val="none"/>
          <w:lang w:val="en-GB"/>
        </w:rPr>
        <w:t>⑤对于捏造事实、滥用维权扰乱采购秩序的恶意质疑者或举证不全查无实据被驳回次数在一年内达三次以上，将纳入不良行为记录名单并承担相应的法律责任。</w:t>
      </w:r>
    </w:p>
    <w:p w14:paraId="29065356">
      <w:pPr>
        <w:numPr>
          <w:ilvl w:val="0"/>
          <w:numId w:val="50"/>
        </w:numPr>
        <w:tabs>
          <w:tab w:val="left" w:pos="540"/>
        </w:tabs>
        <w:snapToGrid w:val="0"/>
        <w:spacing w:line="360" w:lineRule="auto"/>
        <w:ind w:left="510" w:hanging="510"/>
        <w:rPr>
          <w:rFonts w:ascii="宋体" w:hAnsi="宋体" w:cs="宋体"/>
          <w:szCs w:val="24"/>
          <w:highlight w:val="none"/>
          <w:lang w:val="en-GB"/>
        </w:rPr>
      </w:pPr>
      <w:r>
        <w:rPr>
          <w:rFonts w:hint="eastAsia" w:ascii="宋体" w:hAnsi="宋体" w:cs="宋体"/>
          <w:szCs w:val="24"/>
          <w:highlight w:val="none"/>
          <w:lang w:val="en-GB"/>
        </w:rPr>
        <w:t>投诉</w:t>
      </w:r>
    </w:p>
    <w:p w14:paraId="56C86B56">
      <w:pPr>
        <w:tabs>
          <w:tab w:val="left" w:pos="540"/>
        </w:tabs>
        <w:snapToGrid w:val="0"/>
        <w:spacing w:line="360" w:lineRule="auto"/>
        <w:ind w:left="480" w:leftChars="200"/>
        <w:rPr>
          <w:rFonts w:hint="eastAsia" w:ascii="宋体" w:hAnsi="宋体" w:cs="宋体"/>
          <w:color w:val="auto"/>
          <w:sz w:val="28"/>
          <w:szCs w:val="28"/>
          <w:highlight w:val="none"/>
        </w:rPr>
      </w:pPr>
      <w:r>
        <w:rPr>
          <w:rFonts w:hint="eastAsia" w:ascii="宋体" w:hAnsi="宋体" w:cs="宋体"/>
          <w:szCs w:val="24"/>
          <w:highlight w:val="none"/>
          <w:lang w:val="en-GB"/>
        </w:rPr>
        <w:t>质疑供应商对招标采购单位的质疑答复不满意，或招标采购单位未在规定期限内作出答复的，可以在答复期满后十五个工作日内向同级监管部门提出投诉。</w:t>
      </w:r>
      <w:r>
        <w:rPr>
          <w:rFonts w:hint="eastAsia" w:ascii="宋体" w:hAnsi="宋体" w:cs="宋体"/>
          <w:szCs w:val="24"/>
          <w:highlight w:val="none"/>
        </w:rPr>
        <w:br w:type="page"/>
      </w:r>
      <w:r>
        <w:rPr>
          <w:rFonts w:hint="eastAsia" w:ascii="宋体" w:hAnsi="宋体" w:cs="宋体"/>
          <w:color w:val="auto"/>
          <w:sz w:val="28"/>
          <w:szCs w:val="28"/>
          <w:highlight w:val="none"/>
        </w:rPr>
        <w:t>1：询问函格式</w:t>
      </w:r>
    </w:p>
    <w:p w14:paraId="31B11387">
      <w:pPr>
        <w:widowControl/>
        <w:spacing w:before="0" w:beforeAutospacing="0" w:after="0" w:afterAutospacing="0" w:line="360" w:lineRule="auto"/>
        <w:jc w:val="center"/>
        <w:rPr>
          <w:rStyle w:val="17"/>
          <w:rFonts w:hint="eastAsia" w:ascii="宋体" w:hAnsi="宋体" w:eastAsia="宋体" w:cs="宋体"/>
          <w:color w:val="auto"/>
          <w:kern w:val="0"/>
          <w:sz w:val="28"/>
          <w:szCs w:val="28"/>
          <w:highlight w:val="none"/>
          <w:lang w:val="en-US" w:eastAsia="zh-CN" w:bidi="ar-SA"/>
        </w:rPr>
      </w:pPr>
      <w:r>
        <w:rPr>
          <w:rStyle w:val="17"/>
          <w:rFonts w:hint="eastAsia" w:ascii="宋体" w:hAnsi="宋体" w:cs="宋体"/>
          <w:color w:val="auto"/>
          <w:kern w:val="0"/>
          <w:sz w:val="28"/>
          <w:szCs w:val="28"/>
          <w:highlight w:val="none"/>
        </w:rPr>
        <w:t>询问函</w:t>
      </w:r>
    </w:p>
    <w:p w14:paraId="1B344FAF">
      <w:pPr>
        <w:spacing w:line="360" w:lineRule="auto"/>
        <w:rPr>
          <w:rFonts w:hint="eastAsia" w:ascii="宋体" w:hAnsi="宋体"/>
          <w:color w:val="auto"/>
          <w:szCs w:val="24"/>
          <w:highlight w:val="none"/>
          <w:u w:val="single"/>
        </w:rPr>
      </w:pPr>
      <w:r>
        <w:rPr>
          <w:rFonts w:hint="eastAsia" w:ascii="宋体" w:hAnsi="宋体"/>
          <w:color w:val="auto"/>
          <w:szCs w:val="24"/>
          <w:highlight w:val="none"/>
          <w:u w:val="single"/>
        </w:rPr>
        <w:t>（政府采购代理机构或采购人）：</w:t>
      </w:r>
    </w:p>
    <w:p w14:paraId="0984AE32">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我单位已报名并准备参与</w:t>
      </w:r>
      <w:r>
        <w:rPr>
          <w:rFonts w:hint="eastAsia" w:ascii="宋体" w:hAnsi="宋体" w:cs="宋体"/>
          <w:iCs/>
          <w:color w:val="auto"/>
          <w:szCs w:val="24"/>
          <w:highlight w:val="none"/>
          <w:u w:val="single"/>
        </w:rPr>
        <w:t>（采购项目名称）</w:t>
      </w:r>
      <w:r>
        <w:rPr>
          <w:rFonts w:hint="eastAsia" w:ascii="宋体" w:hAnsi="宋体" w:cs="宋体"/>
          <w:color w:val="auto"/>
          <w:szCs w:val="24"/>
          <w:highlight w:val="none"/>
        </w:rPr>
        <w:t>项目（采购项目编号：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）的采购（或报价）活动，现有以下几个内容（或条款）存在疑问（或无法理解），特提出询问。</w:t>
      </w:r>
    </w:p>
    <w:p w14:paraId="183B8C5F">
      <w:pPr>
        <w:widowControl/>
        <w:tabs>
          <w:tab w:val="center" w:pos="5019"/>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一、_____________________（事项一）</w:t>
      </w:r>
      <w:r>
        <w:rPr>
          <w:rFonts w:hint="eastAsia" w:ascii="宋体" w:hAnsi="宋体" w:cs="宋体"/>
          <w:color w:val="auto"/>
          <w:szCs w:val="24"/>
          <w:highlight w:val="none"/>
        </w:rPr>
        <w:tab/>
      </w:r>
    </w:p>
    <w:p w14:paraId="378AF7D9">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（1）____________________（问题或条款内容）</w:t>
      </w:r>
    </w:p>
    <w:p w14:paraId="0B15C81B">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（2）____________________（说明疑问或无法理解原因）</w:t>
      </w:r>
    </w:p>
    <w:p w14:paraId="7F0E6707">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（3）____________________（建议）</w:t>
      </w:r>
    </w:p>
    <w:p w14:paraId="61477DE4">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二、_____________________（事项二）</w:t>
      </w:r>
    </w:p>
    <w:p w14:paraId="30C35889">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w:t>
      </w:r>
    </w:p>
    <w:p w14:paraId="2F4E20F9">
      <w:pPr>
        <w:widowControl/>
        <w:tabs>
          <w:tab w:val="left" w:pos="6300"/>
        </w:tabs>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随附相关证明材料如下：（目录）。</w:t>
      </w:r>
    </w:p>
    <w:p w14:paraId="0C1F5AEF">
      <w:pPr>
        <w:widowControl/>
        <w:tabs>
          <w:tab w:val="left" w:pos="6300"/>
        </w:tabs>
        <w:snapToGrid w:val="0"/>
        <w:spacing w:line="360" w:lineRule="auto"/>
        <w:ind w:firstLine="1440" w:firstLineChars="600"/>
        <w:rPr>
          <w:rFonts w:hint="eastAsia" w:ascii="宋体" w:hAnsi="宋体" w:cs="宋体"/>
          <w:color w:val="auto"/>
          <w:szCs w:val="24"/>
          <w:highlight w:val="none"/>
        </w:rPr>
      </w:pPr>
      <w:r>
        <w:rPr>
          <w:rFonts w:hint="eastAsia" w:ascii="宋体" w:hAnsi="宋体" w:cs="宋体"/>
          <w:color w:val="auto"/>
          <w:szCs w:val="24"/>
          <w:highlight w:val="none"/>
        </w:rPr>
        <w:t>询问人：（公章）</w:t>
      </w:r>
    </w:p>
    <w:p w14:paraId="2FC6D873">
      <w:pPr>
        <w:widowControl/>
        <w:tabs>
          <w:tab w:val="left" w:pos="6300"/>
        </w:tabs>
        <w:snapToGrid w:val="0"/>
        <w:spacing w:line="360" w:lineRule="auto"/>
        <w:ind w:firstLine="1440" w:firstLineChars="600"/>
        <w:rPr>
          <w:rFonts w:hint="eastAsia" w:ascii="宋体" w:hAnsi="宋体" w:cs="宋体"/>
          <w:color w:val="auto"/>
          <w:szCs w:val="24"/>
          <w:highlight w:val="none"/>
        </w:rPr>
      </w:pPr>
      <w:r>
        <w:rPr>
          <w:rFonts w:hint="eastAsia" w:ascii="宋体" w:hAnsi="宋体" w:cs="宋体"/>
          <w:color w:val="auto"/>
          <w:szCs w:val="24"/>
          <w:highlight w:val="none"/>
        </w:rPr>
        <w:t>法定代表人（授权代表）：</w:t>
      </w:r>
    </w:p>
    <w:p w14:paraId="6E191DFB">
      <w:pPr>
        <w:tabs>
          <w:tab w:val="left" w:pos="6300"/>
        </w:tabs>
        <w:snapToGrid w:val="0"/>
        <w:spacing w:line="360" w:lineRule="auto"/>
        <w:ind w:firstLine="1440" w:firstLineChars="600"/>
        <w:rPr>
          <w:rFonts w:hint="eastAsia" w:ascii="宋体" w:hAnsi="宋体" w:cs="宋体"/>
          <w:color w:val="auto"/>
          <w:szCs w:val="24"/>
          <w:highlight w:val="none"/>
        </w:rPr>
      </w:pPr>
      <w:r>
        <w:rPr>
          <w:rFonts w:hint="eastAsia" w:ascii="宋体" w:hAnsi="宋体" w:cs="宋体"/>
          <w:color w:val="auto"/>
          <w:szCs w:val="24"/>
          <w:highlight w:val="none"/>
        </w:rPr>
        <w:t>地址/邮编：</w:t>
      </w:r>
    </w:p>
    <w:p w14:paraId="061D204A">
      <w:pPr>
        <w:tabs>
          <w:tab w:val="left" w:pos="6300"/>
        </w:tabs>
        <w:snapToGrid w:val="0"/>
        <w:spacing w:line="360" w:lineRule="auto"/>
        <w:ind w:firstLine="1440" w:firstLineChars="600"/>
        <w:rPr>
          <w:rFonts w:hint="eastAsia" w:ascii="宋体" w:hAnsi="宋体" w:cs="宋体"/>
          <w:color w:val="auto"/>
          <w:szCs w:val="24"/>
          <w:highlight w:val="none"/>
        </w:rPr>
      </w:pPr>
      <w:r>
        <w:rPr>
          <w:rFonts w:hint="eastAsia" w:ascii="宋体" w:hAnsi="宋体" w:cs="宋体"/>
          <w:color w:val="auto"/>
          <w:szCs w:val="24"/>
          <w:highlight w:val="none"/>
        </w:rPr>
        <w:t>电话/传真：</w:t>
      </w:r>
    </w:p>
    <w:p w14:paraId="7102178E">
      <w:pPr>
        <w:spacing w:line="360" w:lineRule="auto"/>
        <w:jc w:val="righ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39402A4E">
      <w:pPr>
        <w:snapToGrid w:val="0"/>
        <w:spacing w:line="360" w:lineRule="auto"/>
        <w:ind w:firstLine="432" w:firstLineChars="180"/>
        <w:rPr>
          <w:rFonts w:hint="eastAsia" w:ascii="宋体" w:hAnsi="宋体" w:cs="宋体"/>
          <w:color w:val="auto"/>
          <w:szCs w:val="24"/>
          <w:highlight w:val="none"/>
        </w:rPr>
      </w:pPr>
    </w:p>
    <w:p w14:paraId="70045349">
      <w:pPr>
        <w:widowControl/>
        <w:snapToGrid w:val="0"/>
        <w:spacing w:before="0" w:beforeAutospacing="0" w:after="0" w:afterAutospacing="0" w:line="360" w:lineRule="auto"/>
        <w:jc w:val="both"/>
        <w:rPr>
          <w:rFonts w:ascii="宋体" w:hAnsi="宋体" w:eastAsia="宋体" w:cs="Arial"/>
          <w:color w:val="auto"/>
          <w:kern w:val="0"/>
          <w:sz w:val="24"/>
          <w:szCs w:val="24"/>
          <w:highlight w:val="none"/>
          <w:lang w:val="en-US" w:eastAsia="zh-CN" w:bidi="ar-SA"/>
        </w:rPr>
      </w:pPr>
      <w:r>
        <w:rPr>
          <w:rFonts w:hint="eastAsia" w:ascii="宋体" w:hAnsi="宋体" w:eastAsia="宋体" w:cs="宋体"/>
          <w:color w:val="auto"/>
          <w:kern w:val="0"/>
          <w:sz w:val="28"/>
          <w:szCs w:val="28"/>
          <w:highlight w:val="none"/>
          <w:lang w:val="en-US" w:eastAsia="zh-CN" w:bidi="ar-SA"/>
        </w:rPr>
        <w:br w:type="page"/>
      </w:r>
      <w:r>
        <w:rPr>
          <w:rFonts w:hint="eastAsia" w:ascii="宋体" w:hAnsi="宋体" w:eastAsia="宋体" w:cs="宋体"/>
          <w:color w:val="auto"/>
          <w:kern w:val="0"/>
          <w:sz w:val="28"/>
          <w:szCs w:val="28"/>
          <w:highlight w:val="none"/>
          <w:lang w:val="en-US" w:eastAsia="zh-CN" w:bidi="ar-SA"/>
        </w:rPr>
        <w:t>2：</w:t>
      </w:r>
      <w:r>
        <w:rPr>
          <w:rFonts w:hint="eastAsia" w:ascii="黑体" w:hAnsi="黑体" w:eastAsia="黑体" w:cs="Arial"/>
          <w:color w:val="auto"/>
          <w:kern w:val="0"/>
          <w:sz w:val="32"/>
          <w:szCs w:val="24"/>
          <w:highlight w:val="none"/>
          <w:lang w:val="en-US" w:eastAsia="zh-CN" w:bidi="ar-SA"/>
        </w:rPr>
        <w:t>质疑函格式</w:t>
      </w:r>
    </w:p>
    <w:p w14:paraId="35746550">
      <w:pPr>
        <w:widowControl/>
        <w:spacing w:before="0" w:beforeAutospacing="0" w:after="0" w:afterAutospacing="0" w:line="360" w:lineRule="auto"/>
        <w:jc w:val="center"/>
        <w:rPr>
          <w:rStyle w:val="17"/>
          <w:rFonts w:ascii="宋体" w:hAnsi="宋体" w:eastAsia="宋体" w:cs="Arial"/>
          <w:color w:val="auto"/>
          <w:kern w:val="0"/>
          <w:sz w:val="28"/>
          <w:szCs w:val="24"/>
          <w:highlight w:val="none"/>
          <w:lang w:val="en-US" w:eastAsia="zh-CN" w:bidi="ar-SA"/>
        </w:rPr>
      </w:pPr>
      <w:r>
        <w:rPr>
          <w:rStyle w:val="17"/>
          <w:rFonts w:hint="eastAsia" w:cs="Arial"/>
          <w:color w:val="auto"/>
          <w:kern w:val="0"/>
          <w:sz w:val="28"/>
          <w:szCs w:val="24"/>
          <w:highlight w:val="none"/>
        </w:rPr>
        <w:t>关于</w:t>
      </w:r>
      <w:r>
        <w:rPr>
          <w:rStyle w:val="17"/>
          <w:rFonts w:hint="eastAsia" w:cs="Arial"/>
          <w:color w:val="auto"/>
          <w:kern w:val="0"/>
          <w:sz w:val="28"/>
          <w:szCs w:val="24"/>
          <w:highlight w:val="none"/>
          <w:u w:val="single"/>
        </w:rPr>
        <w:t>（采购人）（项目名称）</w:t>
      </w:r>
      <w:r>
        <w:rPr>
          <w:rStyle w:val="17"/>
          <w:rFonts w:hint="eastAsia" w:cs="Arial"/>
          <w:color w:val="auto"/>
          <w:kern w:val="0"/>
          <w:sz w:val="28"/>
          <w:szCs w:val="24"/>
          <w:highlight w:val="none"/>
        </w:rPr>
        <w:t>的质疑函</w:t>
      </w:r>
    </w:p>
    <w:p w14:paraId="33B47CF6">
      <w:pPr>
        <w:widowControl/>
        <w:spacing w:line="360" w:lineRule="auto"/>
        <w:jc w:val="center"/>
        <w:rPr>
          <w:rFonts w:ascii="宋体" w:hAnsi="宋体"/>
          <w:color w:val="auto"/>
          <w:kern w:val="0"/>
          <w:highlight w:val="none"/>
        </w:rPr>
      </w:pPr>
      <w:r>
        <w:rPr>
          <w:rFonts w:hint="eastAsia" w:ascii="宋体" w:hAnsi="宋体" w:cs="Arial"/>
          <w:color w:val="auto"/>
          <w:kern w:val="0"/>
          <w:highlight w:val="none"/>
        </w:rPr>
        <w:t>(可根据质疑内容增加或删减)</w:t>
      </w:r>
    </w:p>
    <w:p w14:paraId="6C235D74">
      <w:pPr>
        <w:widowControl/>
        <w:snapToGrid w:val="0"/>
        <w:spacing w:line="360" w:lineRule="auto"/>
        <w:jc w:val="left"/>
        <w:rPr>
          <w:rFonts w:ascii="宋体" w:hAnsi="宋体" w:cs="Arial"/>
          <w:color w:val="auto"/>
          <w:szCs w:val="24"/>
          <w:highlight w:val="none"/>
          <w:u w:val="single"/>
        </w:rPr>
      </w:pPr>
    </w:p>
    <w:p w14:paraId="45D59A9A">
      <w:pPr>
        <w:widowControl/>
        <w:snapToGrid w:val="0"/>
        <w:spacing w:line="360" w:lineRule="auto"/>
        <w:jc w:val="left"/>
        <w:rPr>
          <w:rFonts w:ascii="宋体" w:hAnsi="宋体" w:cs="Arial"/>
          <w:color w:val="auto"/>
          <w:szCs w:val="24"/>
          <w:highlight w:val="none"/>
        </w:rPr>
      </w:pPr>
      <w:r>
        <w:rPr>
          <w:rFonts w:hint="eastAsia" w:ascii="宋体" w:hAnsi="宋体" w:cs="Arial"/>
          <w:color w:val="auto"/>
          <w:szCs w:val="24"/>
          <w:highlight w:val="none"/>
          <w:u w:val="single"/>
        </w:rPr>
        <w:t xml:space="preserve">采购人名称/采购代理机构名称 </w:t>
      </w:r>
      <w:r>
        <w:rPr>
          <w:rFonts w:hint="eastAsia" w:ascii="宋体" w:hAnsi="宋体" w:cs="Arial"/>
          <w:color w:val="auto"/>
          <w:szCs w:val="24"/>
          <w:highlight w:val="none"/>
        </w:rPr>
        <w:t>：</w:t>
      </w:r>
    </w:p>
    <w:p w14:paraId="0F4BCE32">
      <w:pPr>
        <w:adjustRightInd w:val="0"/>
        <w:snapToGrid w:val="0"/>
        <w:spacing w:before="240" w:beforeLines="100" w:line="360" w:lineRule="auto"/>
        <w:rPr>
          <w:rFonts w:ascii="宋体" w:hAnsi="宋体" w:cs="仿宋"/>
          <w:bCs/>
          <w:color w:val="auto"/>
          <w:szCs w:val="24"/>
          <w:highlight w:val="none"/>
        </w:rPr>
      </w:pPr>
      <w:r>
        <w:rPr>
          <w:rFonts w:hint="eastAsia" w:ascii="宋体" w:hAnsi="宋体" w:cs="仿宋"/>
          <w:bCs/>
          <w:color w:val="auto"/>
          <w:szCs w:val="24"/>
          <w:highlight w:val="none"/>
        </w:rPr>
        <w:t>一、质疑供应商基本信息</w:t>
      </w:r>
    </w:p>
    <w:p w14:paraId="084DEB7D">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质疑供应商：</w:t>
      </w:r>
      <w:r>
        <w:rPr>
          <w:rFonts w:hint="eastAsia" w:ascii="宋体" w:hAnsi="宋体" w:cs="仿宋"/>
          <w:color w:val="auto"/>
          <w:szCs w:val="24"/>
          <w:highlight w:val="none"/>
          <w:u w:val="single"/>
        </w:rPr>
        <w:t xml:space="preserve">                                        </w:t>
      </w:r>
    </w:p>
    <w:p w14:paraId="0DD730C0">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地址：</w:t>
      </w:r>
      <w:r>
        <w:rPr>
          <w:rFonts w:hint="eastAsia" w:ascii="宋体" w:hAnsi="宋体" w:cs="仿宋"/>
          <w:color w:val="auto"/>
          <w:szCs w:val="24"/>
          <w:highlight w:val="none"/>
          <w:u w:val="single"/>
        </w:rPr>
        <w:t xml:space="preserve">                          </w:t>
      </w:r>
      <w:r>
        <w:rPr>
          <w:rFonts w:hint="eastAsia" w:ascii="宋体" w:hAnsi="宋体" w:cs="仿宋"/>
          <w:color w:val="auto"/>
          <w:szCs w:val="24"/>
          <w:highlight w:val="none"/>
        </w:rPr>
        <w:t>邮编：</w:t>
      </w:r>
      <w:r>
        <w:rPr>
          <w:rFonts w:hint="eastAsia" w:ascii="宋体" w:hAnsi="宋体" w:cs="仿宋"/>
          <w:color w:val="auto"/>
          <w:szCs w:val="24"/>
          <w:highlight w:val="none"/>
          <w:u w:val="single"/>
        </w:rPr>
        <w:t xml:space="preserve">                                </w:t>
      </w:r>
    </w:p>
    <w:p w14:paraId="02891948">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联系人：</w:t>
      </w:r>
      <w:r>
        <w:rPr>
          <w:rFonts w:hint="eastAsia" w:ascii="宋体" w:hAnsi="宋体" w:cs="仿宋"/>
          <w:color w:val="auto"/>
          <w:szCs w:val="24"/>
          <w:highlight w:val="none"/>
          <w:u w:val="single"/>
        </w:rPr>
        <w:t xml:space="preserve">                      </w:t>
      </w:r>
      <w:r>
        <w:rPr>
          <w:rFonts w:hint="eastAsia" w:ascii="宋体" w:hAnsi="宋体" w:cs="仿宋"/>
          <w:color w:val="auto"/>
          <w:szCs w:val="24"/>
          <w:highlight w:val="none"/>
        </w:rPr>
        <w:t>联系电话：</w:t>
      </w:r>
      <w:r>
        <w:rPr>
          <w:rFonts w:hint="eastAsia" w:ascii="宋体" w:hAnsi="宋体" w:cs="仿宋"/>
          <w:color w:val="auto"/>
          <w:szCs w:val="24"/>
          <w:highlight w:val="none"/>
          <w:u w:val="single"/>
        </w:rPr>
        <w:t xml:space="preserve">                              </w:t>
      </w:r>
    </w:p>
    <w:p w14:paraId="5BC4D2C1">
      <w:pPr>
        <w:adjustRightInd w:val="0"/>
        <w:snapToGrid w:val="0"/>
        <w:spacing w:line="360" w:lineRule="auto"/>
        <w:rPr>
          <w:rFonts w:hint="eastAsia" w:ascii="宋体" w:hAnsi="宋体" w:cs="仿宋"/>
          <w:color w:val="auto"/>
          <w:szCs w:val="24"/>
          <w:highlight w:val="none"/>
          <w:u w:val="single"/>
        </w:rPr>
      </w:pPr>
      <w:r>
        <w:rPr>
          <w:rFonts w:hint="eastAsia" w:ascii="宋体" w:hAnsi="宋体" w:cs="仿宋"/>
          <w:color w:val="auto"/>
          <w:szCs w:val="24"/>
          <w:highlight w:val="none"/>
        </w:rPr>
        <w:t>授权代表：</w:t>
      </w:r>
      <w:r>
        <w:rPr>
          <w:rFonts w:hint="eastAsia" w:ascii="宋体" w:hAnsi="宋体" w:cs="仿宋"/>
          <w:color w:val="auto"/>
          <w:szCs w:val="24"/>
          <w:highlight w:val="none"/>
          <w:u w:val="single"/>
        </w:rPr>
        <w:t xml:space="preserve">                 </w:t>
      </w:r>
      <w:r>
        <w:rPr>
          <w:rFonts w:hint="eastAsia" w:ascii="宋体" w:hAnsi="宋体" w:cs="仿宋"/>
          <w:color w:val="auto"/>
          <w:szCs w:val="24"/>
          <w:highlight w:val="none"/>
        </w:rPr>
        <w:t>联系电话：</w:t>
      </w:r>
      <w:r>
        <w:rPr>
          <w:rFonts w:hint="eastAsia" w:ascii="宋体" w:hAnsi="宋体" w:cs="仿宋"/>
          <w:color w:val="auto"/>
          <w:szCs w:val="24"/>
          <w:highlight w:val="none"/>
          <w:u w:val="single"/>
        </w:rPr>
        <w:t xml:space="preserve">                         </w:t>
      </w:r>
    </w:p>
    <w:p w14:paraId="3C330E03">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地址：</w:t>
      </w:r>
      <w:r>
        <w:rPr>
          <w:rFonts w:ascii="宋体" w:hAnsi="宋体" w:cs="仿宋"/>
          <w:color w:val="auto"/>
          <w:szCs w:val="24"/>
          <w:highlight w:val="none"/>
        </w:rPr>
        <w:t xml:space="preserve"> </w:t>
      </w:r>
      <w:r>
        <w:rPr>
          <w:rFonts w:hint="eastAsia" w:ascii="宋体" w:hAnsi="宋体" w:cs="仿宋"/>
          <w:color w:val="auto"/>
          <w:szCs w:val="24"/>
          <w:highlight w:val="none"/>
          <w:u w:val="single"/>
        </w:rPr>
        <w:t xml:space="preserve">                        </w:t>
      </w:r>
      <w:r>
        <w:rPr>
          <w:rFonts w:hint="eastAsia" w:ascii="宋体" w:hAnsi="宋体" w:cs="仿宋"/>
          <w:color w:val="auto"/>
          <w:szCs w:val="24"/>
          <w:highlight w:val="none"/>
        </w:rPr>
        <w:t>邮编：</w:t>
      </w:r>
      <w:r>
        <w:rPr>
          <w:rFonts w:hint="eastAsia" w:ascii="宋体" w:hAnsi="宋体" w:cs="仿宋"/>
          <w:color w:val="auto"/>
          <w:szCs w:val="24"/>
          <w:highlight w:val="none"/>
          <w:u w:val="single"/>
        </w:rPr>
        <w:t xml:space="preserve">                                </w:t>
      </w:r>
    </w:p>
    <w:p w14:paraId="06B524D1">
      <w:pPr>
        <w:adjustRightInd w:val="0"/>
        <w:snapToGrid w:val="0"/>
        <w:spacing w:line="360" w:lineRule="auto"/>
        <w:rPr>
          <w:rFonts w:ascii="宋体" w:hAnsi="宋体" w:cs="仿宋"/>
          <w:bCs/>
          <w:color w:val="auto"/>
          <w:szCs w:val="24"/>
          <w:highlight w:val="none"/>
        </w:rPr>
      </w:pPr>
      <w:r>
        <w:rPr>
          <w:rFonts w:hint="eastAsia" w:ascii="宋体" w:hAnsi="宋体" w:cs="仿宋"/>
          <w:bCs/>
          <w:color w:val="auto"/>
          <w:szCs w:val="24"/>
          <w:highlight w:val="none"/>
        </w:rPr>
        <w:t>二、质疑项目基本情况</w:t>
      </w:r>
    </w:p>
    <w:p w14:paraId="24EA2CB2">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质疑项目的名称：</w:t>
      </w:r>
      <w:r>
        <w:rPr>
          <w:rFonts w:hint="eastAsia" w:ascii="宋体" w:hAnsi="宋体" w:cs="仿宋"/>
          <w:color w:val="auto"/>
          <w:szCs w:val="24"/>
          <w:highlight w:val="none"/>
          <w:u w:val="single"/>
        </w:rPr>
        <w:t xml:space="preserve">                            </w:t>
      </w:r>
    </w:p>
    <w:p w14:paraId="7414E850">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质疑项目的编号：</w:t>
      </w:r>
      <w:r>
        <w:rPr>
          <w:rFonts w:hint="eastAsia" w:ascii="宋体" w:hAnsi="宋体" w:cs="仿宋"/>
          <w:color w:val="auto"/>
          <w:szCs w:val="24"/>
          <w:highlight w:val="none"/>
          <w:u w:val="single"/>
        </w:rPr>
        <w:t xml:space="preserve">                            </w:t>
      </w:r>
    </w:p>
    <w:p w14:paraId="55DC16AC">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采购人名称：</w:t>
      </w:r>
      <w:r>
        <w:rPr>
          <w:rFonts w:hint="eastAsia" w:ascii="宋体" w:hAnsi="宋体" w:cs="仿宋"/>
          <w:color w:val="auto"/>
          <w:szCs w:val="24"/>
          <w:highlight w:val="none"/>
          <w:u w:val="single"/>
        </w:rPr>
        <w:t xml:space="preserve">                                </w:t>
      </w:r>
    </w:p>
    <w:p w14:paraId="42BE0D9E">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采购文件获取日期：</w:t>
      </w:r>
      <w:r>
        <w:rPr>
          <w:rFonts w:hint="eastAsia" w:ascii="宋体" w:hAnsi="宋体" w:cs="仿宋"/>
          <w:color w:val="auto"/>
          <w:szCs w:val="24"/>
          <w:highlight w:val="none"/>
          <w:u w:val="single"/>
        </w:rPr>
        <w:t xml:space="preserve">                          </w:t>
      </w:r>
    </w:p>
    <w:p w14:paraId="192D480B">
      <w:pPr>
        <w:adjustRightInd w:val="0"/>
        <w:snapToGrid w:val="0"/>
        <w:spacing w:line="360" w:lineRule="auto"/>
        <w:rPr>
          <w:rFonts w:ascii="宋体" w:hAnsi="宋体" w:cs="仿宋"/>
          <w:bCs/>
          <w:color w:val="auto"/>
          <w:szCs w:val="24"/>
          <w:highlight w:val="none"/>
        </w:rPr>
      </w:pPr>
      <w:r>
        <w:rPr>
          <w:rFonts w:hint="eastAsia" w:ascii="宋体" w:hAnsi="宋体" w:cs="仿宋"/>
          <w:bCs/>
          <w:color w:val="auto"/>
          <w:szCs w:val="24"/>
          <w:highlight w:val="none"/>
        </w:rPr>
        <w:t>三、质疑事项具体内容</w:t>
      </w:r>
    </w:p>
    <w:p w14:paraId="4FB0F37E">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质疑事项1：</w:t>
      </w:r>
      <w:r>
        <w:rPr>
          <w:rFonts w:hint="eastAsia" w:ascii="宋体" w:hAnsi="宋体" w:cs="仿宋"/>
          <w:color w:val="auto"/>
          <w:szCs w:val="24"/>
          <w:highlight w:val="none"/>
          <w:u w:val="single"/>
        </w:rPr>
        <w:t xml:space="preserve">                                         </w:t>
      </w:r>
    </w:p>
    <w:p w14:paraId="74A78E8D">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事实依据：</w:t>
      </w:r>
      <w:r>
        <w:rPr>
          <w:rFonts w:hint="eastAsia" w:ascii="宋体" w:hAnsi="宋体" w:cs="仿宋"/>
          <w:color w:val="auto"/>
          <w:szCs w:val="24"/>
          <w:highlight w:val="none"/>
          <w:u w:val="single"/>
        </w:rPr>
        <w:t xml:space="preserve">                                          </w:t>
      </w:r>
    </w:p>
    <w:p w14:paraId="42A4C8B4">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法律依据：</w:t>
      </w:r>
      <w:r>
        <w:rPr>
          <w:rFonts w:hint="eastAsia" w:ascii="宋体" w:hAnsi="宋体" w:cs="仿宋"/>
          <w:color w:val="auto"/>
          <w:szCs w:val="24"/>
          <w:highlight w:val="none"/>
          <w:u w:val="single"/>
        </w:rPr>
        <w:t xml:space="preserve">                                          </w:t>
      </w:r>
    </w:p>
    <w:p w14:paraId="624385A3">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证据来源：</w:t>
      </w:r>
      <w:r>
        <w:rPr>
          <w:rFonts w:hint="eastAsia" w:ascii="宋体" w:hAnsi="宋体" w:cs="仿宋"/>
          <w:color w:val="auto"/>
          <w:szCs w:val="24"/>
          <w:highlight w:val="none"/>
          <w:u w:val="single"/>
        </w:rPr>
        <w:t xml:space="preserve">                                          </w:t>
      </w:r>
    </w:p>
    <w:p w14:paraId="0F0D4BD0">
      <w:pPr>
        <w:adjustRightInd w:val="0"/>
        <w:snapToGrid w:val="0"/>
        <w:spacing w:line="360" w:lineRule="auto"/>
        <w:rPr>
          <w:rFonts w:ascii="宋体" w:hAnsi="宋体" w:cs="仿宋"/>
          <w:color w:val="auto"/>
          <w:szCs w:val="24"/>
          <w:highlight w:val="none"/>
          <w:u w:val="dotted"/>
        </w:rPr>
      </w:pPr>
      <w:r>
        <w:rPr>
          <w:rFonts w:hint="eastAsia" w:ascii="宋体" w:hAnsi="宋体" w:cs="仿宋"/>
          <w:color w:val="auto"/>
          <w:szCs w:val="24"/>
          <w:highlight w:val="none"/>
        </w:rPr>
        <w:t>质疑事项2</w:t>
      </w:r>
    </w:p>
    <w:p w14:paraId="102A7787">
      <w:pPr>
        <w:adjustRightInd w:val="0"/>
        <w:snapToGrid w:val="0"/>
        <w:spacing w:line="360" w:lineRule="auto"/>
        <w:rPr>
          <w:rFonts w:ascii="宋体" w:hAnsi="宋体" w:cs="仿宋"/>
          <w:color w:val="auto"/>
          <w:szCs w:val="24"/>
          <w:highlight w:val="none"/>
        </w:rPr>
      </w:pPr>
      <w:r>
        <w:rPr>
          <w:rFonts w:hint="eastAsia" w:ascii="宋体" w:hAnsi="宋体" w:cs="仿宋"/>
          <w:color w:val="auto"/>
          <w:szCs w:val="24"/>
          <w:highlight w:val="none"/>
        </w:rPr>
        <w:t>……</w:t>
      </w:r>
    </w:p>
    <w:p w14:paraId="0B6D24D1">
      <w:pPr>
        <w:adjustRightInd w:val="0"/>
        <w:snapToGrid w:val="0"/>
        <w:spacing w:line="360" w:lineRule="auto"/>
        <w:rPr>
          <w:rFonts w:ascii="宋体" w:hAnsi="宋体" w:cs="仿宋"/>
          <w:bCs/>
          <w:color w:val="auto"/>
          <w:szCs w:val="24"/>
          <w:highlight w:val="none"/>
        </w:rPr>
      </w:pPr>
      <w:r>
        <w:rPr>
          <w:rFonts w:hint="eastAsia" w:ascii="宋体" w:hAnsi="宋体" w:cs="仿宋"/>
          <w:bCs/>
          <w:color w:val="auto"/>
          <w:szCs w:val="24"/>
          <w:highlight w:val="none"/>
        </w:rPr>
        <w:t>四、与质疑事项相关的质疑请求</w:t>
      </w:r>
    </w:p>
    <w:p w14:paraId="6834E0FC">
      <w:pPr>
        <w:adjustRightInd w:val="0"/>
        <w:snapToGrid w:val="0"/>
        <w:spacing w:line="360" w:lineRule="auto"/>
        <w:rPr>
          <w:rFonts w:ascii="宋体" w:hAnsi="宋体" w:cs="仿宋"/>
          <w:color w:val="auto"/>
          <w:szCs w:val="24"/>
          <w:highlight w:val="none"/>
          <w:u w:val="single"/>
        </w:rPr>
      </w:pPr>
      <w:r>
        <w:rPr>
          <w:rFonts w:hint="eastAsia" w:ascii="宋体" w:hAnsi="宋体" w:cs="仿宋"/>
          <w:color w:val="auto"/>
          <w:szCs w:val="24"/>
          <w:highlight w:val="none"/>
        </w:rPr>
        <w:t>请求：</w:t>
      </w:r>
      <w:r>
        <w:rPr>
          <w:rFonts w:hint="eastAsia" w:ascii="宋体" w:hAnsi="宋体" w:cs="仿宋"/>
          <w:color w:val="auto"/>
          <w:szCs w:val="24"/>
          <w:highlight w:val="none"/>
          <w:u w:val="single"/>
        </w:rPr>
        <w:t xml:space="preserve">                                               </w:t>
      </w:r>
    </w:p>
    <w:p w14:paraId="1D0527D4">
      <w:pPr>
        <w:spacing w:line="360" w:lineRule="auto"/>
        <w:rPr>
          <w:rFonts w:ascii="宋体" w:hAnsi="宋体"/>
          <w:color w:val="auto"/>
          <w:szCs w:val="24"/>
          <w:highlight w:val="none"/>
        </w:rPr>
      </w:pPr>
      <w:r>
        <w:rPr>
          <w:rFonts w:hint="eastAsia" w:ascii="宋体" w:hAnsi="宋体"/>
          <w:color w:val="auto"/>
          <w:szCs w:val="24"/>
          <w:highlight w:val="none"/>
        </w:rPr>
        <w:t>质疑人（法人公章）：</w:t>
      </w:r>
      <w:r>
        <w:rPr>
          <w:rFonts w:hint="eastAsia" w:ascii="宋体" w:hAnsi="宋体"/>
          <w:color w:val="auto"/>
          <w:szCs w:val="24"/>
          <w:highlight w:val="none"/>
          <w:u w:val="single"/>
        </w:rPr>
        <w:t xml:space="preserve">                    </w:t>
      </w:r>
    </w:p>
    <w:p w14:paraId="45A04F44">
      <w:pPr>
        <w:spacing w:line="360" w:lineRule="auto"/>
        <w:rPr>
          <w:rFonts w:ascii="宋体" w:hAnsi="宋体"/>
          <w:color w:val="auto"/>
          <w:szCs w:val="24"/>
          <w:highlight w:val="none"/>
        </w:rPr>
      </w:pPr>
      <w:r>
        <w:rPr>
          <w:rFonts w:hint="eastAsia" w:ascii="宋体" w:hAnsi="宋体"/>
          <w:color w:val="auto"/>
          <w:szCs w:val="24"/>
          <w:highlight w:val="none"/>
        </w:rPr>
        <w:t>质疑人联系人（签字或签章)：</w:t>
      </w:r>
      <w:r>
        <w:rPr>
          <w:rFonts w:hint="eastAsia" w:ascii="宋体" w:hAnsi="宋体"/>
          <w:color w:val="auto"/>
          <w:szCs w:val="24"/>
          <w:highlight w:val="none"/>
          <w:u w:val="single"/>
        </w:rPr>
        <w:t xml:space="preserve">                    </w:t>
      </w:r>
    </w:p>
    <w:p w14:paraId="7A737BB5">
      <w:pPr>
        <w:spacing w:line="360" w:lineRule="auto"/>
        <w:rPr>
          <w:rFonts w:ascii="宋体" w:hAnsi="宋体"/>
          <w:color w:val="auto"/>
          <w:szCs w:val="24"/>
          <w:highlight w:val="none"/>
        </w:rPr>
      </w:pPr>
      <w:r>
        <w:rPr>
          <w:rFonts w:hint="eastAsia" w:ascii="宋体" w:hAnsi="宋体"/>
          <w:color w:val="auto"/>
          <w:szCs w:val="24"/>
          <w:highlight w:val="none"/>
        </w:rPr>
        <w:t>提出质疑的日期：   年  月  日</w:t>
      </w:r>
    </w:p>
    <w:p w14:paraId="0032FFED">
      <w:pPr>
        <w:widowControl/>
        <w:snapToGrid w:val="0"/>
        <w:spacing w:line="360" w:lineRule="auto"/>
        <w:ind w:right="84"/>
        <w:rPr>
          <w:rFonts w:ascii="宋体" w:hAnsi="宋体" w:cs="Arial"/>
          <w:b/>
          <w:color w:val="auto"/>
          <w:highlight w:val="none"/>
        </w:rPr>
      </w:pPr>
    </w:p>
    <w:p w14:paraId="2CAF56FA">
      <w:pPr>
        <w:widowControl/>
        <w:snapToGrid w:val="0"/>
        <w:spacing w:line="360" w:lineRule="auto"/>
        <w:ind w:right="84"/>
        <w:rPr>
          <w:rFonts w:ascii="宋体" w:hAnsi="宋体" w:cs="Arial"/>
          <w:b/>
          <w:color w:val="auto"/>
          <w:highlight w:val="none"/>
        </w:rPr>
      </w:pPr>
    </w:p>
    <w:p w14:paraId="0435D788">
      <w:pPr>
        <w:widowControl/>
        <w:snapToGrid w:val="0"/>
        <w:spacing w:line="360" w:lineRule="auto"/>
        <w:ind w:right="84"/>
        <w:rPr>
          <w:rFonts w:ascii="宋体" w:hAnsi="宋体" w:cs="Arial"/>
          <w:b/>
          <w:color w:val="auto"/>
          <w:sz w:val="21"/>
          <w:szCs w:val="21"/>
          <w:highlight w:val="none"/>
        </w:rPr>
      </w:pPr>
      <w:r>
        <w:rPr>
          <w:rFonts w:hint="eastAsia" w:ascii="宋体" w:hAnsi="宋体" w:cs="Arial"/>
          <w:b/>
          <w:color w:val="auto"/>
          <w:sz w:val="21"/>
          <w:szCs w:val="21"/>
          <w:highlight w:val="none"/>
        </w:rPr>
        <w:t>备注（1）：</w:t>
      </w:r>
    </w:p>
    <w:p w14:paraId="325E7439">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供应商提出质疑时，应提交质疑函和必要的证明材料。</w:t>
      </w:r>
    </w:p>
    <w:p w14:paraId="6F80F1A2">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GB" w:eastAsia="zh-CN" w:bidi="ar-SA"/>
        </w:rPr>
        <w:t>在法定质疑期内，供应商针对同一采购程序环节的质疑须一次性提出。</w:t>
      </w:r>
    </w:p>
    <w:p w14:paraId="27BC0E4E">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质疑函的质疑事项应具体、明确，每个质疑事项应有与之相对应的必要事实依据和法律依据。质疑事项属于涉密的，应提供信息来源或有效证据。</w:t>
      </w:r>
    </w:p>
    <w:p w14:paraId="6E16B90B">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供应商质疑应当有明确的请求，质疑请求应与质疑事项相关。</w:t>
      </w:r>
    </w:p>
    <w:p w14:paraId="0599F79A">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质疑供应商为自然人的，质疑函应由本人签字；质疑供应商为法人或者其他组织的，质疑函应由法定代表人、主要负责人，或者其授权代表签字或者盖章，并加盖单位公章，多页时须同时加盖骑缝章。</w:t>
      </w:r>
    </w:p>
    <w:p w14:paraId="76002A00">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质疑供应商若委托代理人进行质疑的，质疑函应按要求列明“授权代表”的有关内容，并在附件中提交由质疑供应商签署的授权委托书</w:t>
      </w:r>
      <w:r>
        <w:rPr>
          <w:rFonts w:hint="eastAsia" w:ascii="宋体" w:hAnsi="宋体" w:eastAsia="宋体" w:cs="宋体"/>
          <w:b/>
          <w:color w:val="auto"/>
          <w:kern w:val="2"/>
          <w:sz w:val="21"/>
          <w:szCs w:val="21"/>
          <w:highlight w:val="none"/>
          <w:lang w:val="en-US" w:eastAsia="zh-CN" w:bidi="ar-SA"/>
        </w:rPr>
        <w:t>（格式见后）</w:t>
      </w:r>
      <w:r>
        <w:rPr>
          <w:rFonts w:hint="eastAsia" w:ascii="宋体" w:hAnsi="宋体" w:eastAsia="宋体" w:cs="宋体"/>
          <w:color w:val="auto"/>
          <w:kern w:val="2"/>
          <w:sz w:val="21"/>
          <w:szCs w:val="21"/>
          <w:highlight w:val="none"/>
          <w:lang w:val="en-US" w:eastAsia="zh-CN" w:bidi="ar-SA"/>
        </w:rPr>
        <w:t>。授权委托书应载明代理人的姓名或者名称、代理事项、具体权限、期限和相关事项。递交质疑函时，需出示代理人的身份证原件，并在受理表上进行登记、确认。</w:t>
      </w:r>
    </w:p>
    <w:p w14:paraId="1262733D">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中华人民共和国中华人民共和国政府采购法实施条例》第五十七条，捏造事实、提供虚假材料或者以非法手段取得证明材料不能作为质疑、投诉的证明材料；依据《中华人民共和国中华人民共和国政府采购法实施条例》第七十三条，供应商捏造事实、提供虚假材料或者以非法手段取得证明材料进行投诉的，由财政部门列入不良行为记录名单，禁止1至3年内参加政府采购活动。</w:t>
      </w:r>
    </w:p>
    <w:p w14:paraId="351A7D8F">
      <w:pPr>
        <w:widowControl/>
        <w:numPr>
          <w:ilvl w:val="0"/>
          <w:numId w:val="51"/>
        </w:numPr>
        <w:snapToGrid w:val="0"/>
        <w:spacing w:line="360" w:lineRule="auto"/>
        <w:ind w:right="84"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不按上述要求拟写的质疑函，佛山市公共资源交易中心将不予受理。</w:t>
      </w:r>
    </w:p>
    <w:p w14:paraId="02AD6F5B">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备注（2）</w:t>
      </w:r>
    </w:p>
    <w:p w14:paraId="79EDAC5F">
      <w:pPr>
        <w:numPr>
          <w:ilvl w:val="0"/>
          <w:numId w:val="52"/>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本部分格式为供应商提交质疑函时使用，不属于投标（响应）文件格式的组成部分；</w:t>
      </w:r>
    </w:p>
    <w:p w14:paraId="464EE51B">
      <w:pPr>
        <w:numPr>
          <w:ilvl w:val="0"/>
          <w:numId w:val="52"/>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供应商如需对项目提出质疑时，应按质疑函的格式提交；</w:t>
      </w:r>
    </w:p>
    <w:p w14:paraId="43582049">
      <w:pPr>
        <w:numPr>
          <w:ilvl w:val="0"/>
          <w:numId w:val="52"/>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提交质疑函时须同时提交授权委托书。</w:t>
      </w:r>
    </w:p>
    <w:p w14:paraId="00E0D4F8">
      <w:pPr>
        <w:pStyle w:val="24"/>
        <w:jc w:val="left"/>
        <w:rPr>
          <w:rFonts w:hint="eastAsia"/>
          <w:color w:val="auto"/>
          <w:highlight w:val="none"/>
        </w:rPr>
      </w:pPr>
      <w:r>
        <w:rPr>
          <w:color w:val="auto"/>
          <w:highlight w:val="none"/>
        </w:rPr>
        <w:br w:type="page"/>
      </w:r>
      <w:r>
        <w:rPr>
          <w:rFonts w:hint="eastAsia"/>
          <w:b/>
          <w:color w:val="auto"/>
          <w:sz w:val="32"/>
          <w:szCs w:val="32"/>
          <w:highlight w:val="none"/>
        </w:rPr>
        <w:t>质疑函附件：</w:t>
      </w:r>
    </w:p>
    <w:p w14:paraId="03A40660">
      <w:pPr>
        <w:pStyle w:val="24"/>
        <w:jc w:val="center"/>
        <w:rPr>
          <w:rFonts w:hint="eastAsia"/>
          <w:b/>
          <w:color w:val="auto"/>
          <w:sz w:val="32"/>
          <w:szCs w:val="32"/>
          <w:highlight w:val="none"/>
        </w:rPr>
      </w:pPr>
      <w:r>
        <w:rPr>
          <w:rFonts w:hint="eastAsia"/>
          <w:b/>
          <w:color w:val="auto"/>
          <w:sz w:val="32"/>
          <w:szCs w:val="32"/>
          <w:highlight w:val="none"/>
        </w:rPr>
        <w:t>授权委托书</w:t>
      </w:r>
    </w:p>
    <w:p w14:paraId="4927BCC6">
      <w:pPr>
        <w:rPr>
          <w:rFonts w:hint="eastAsia" w:ascii="宋体" w:hAnsi="宋体" w:cs="Arial"/>
          <w:color w:val="auto"/>
          <w:highlight w:val="none"/>
        </w:rPr>
      </w:pPr>
    </w:p>
    <w:p w14:paraId="6ED5F04F">
      <w:pPr>
        <w:pStyle w:val="24"/>
        <w:spacing w:line="460" w:lineRule="exact"/>
        <w:ind w:left="420" w:hanging="420"/>
        <w:rPr>
          <w:rFonts w:hint="eastAsia" w:ascii="黑体" w:eastAsia="黑体"/>
          <w:bCs/>
          <w:color w:val="auto"/>
          <w:sz w:val="28"/>
          <w:szCs w:val="28"/>
          <w:highlight w:val="none"/>
          <w:lang w:val="en-GB"/>
        </w:rPr>
      </w:pPr>
    </w:p>
    <w:p w14:paraId="31276A13">
      <w:pPr>
        <w:pStyle w:val="24"/>
        <w:spacing w:line="460" w:lineRule="exact"/>
        <w:ind w:left="420" w:hanging="420"/>
        <w:rPr>
          <w:rFonts w:hint="eastAsia" w:ascii="宋体" w:hAnsi="宋体" w:cs="宋体"/>
          <w:bCs/>
          <w:color w:val="auto"/>
          <w:highlight w:val="none"/>
          <w:lang w:val="en-GB"/>
        </w:rPr>
      </w:pPr>
      <w:r>
        <w:rPr>
          <w:rFonts w:hint="eastAsia" w:ascii="宋体" w:hAnsi="宋体" w:cs="宋体"/>
          <w:bCs/>
          <w:color w:val="auto"/>
          <w:highlight w:val="none"/>
          <w:lang w:val="en-GB"/>
        </w:rPr>
        <w:t xml:space="preserve">致  </w:t>
      </w:r>
      <w:r>
        <w:rPr>
          <w:rFonts w:hint="eastAsia" w:ascii="宋体" w:hAnsi="宋体" w:cs="宋体"/>
          <w:color w:val="auto"/>
          <w:highlight w:val="none"/>
          <w:u w:val="single"/>
        </w:rPr>
        <w:t>采购人名称/采购代理机构名称</w:t>
      </w:r>
      <w:r>
        <w:rPr>
          <w:rFonts w:hint="eastAsia" w:ascii="宋体" w:hAnsi="宋体" w:cs="宋体"/>
          <w:bCs/>
          <w:color w:val="auto"/>
          <w:highlight w:val="none"/>
          <w:lang w:val="en-GB"/>
        </w:rPr>
        <w:t>：</w:t>
      </w:r>
    </w:p>
    <w:p w14:paraId="6BF3C584">
      <w:pPr>
        <w:pStyle w:val="24"/>
        <w:spacing w:line="460" w:lineRule="exact"/>
        <w:ind w:left="420" w:hanging="420"/>
        <w:rPr>
          <w:rFonts w:hint="eastAsia" w:ascii="宋体" w:hAnsi="宋体" w:cs="宋体"/>
          <w:bCs/>
          <w:color w:val="auto"/>
          <w:highlight w:val="none"/>
          <w:lang w:val="en-GB"/>
        </w:rPr>
      </w:pPr>
    </w:p>
    <w:p w14:paraId="6AEDCAB0">
      <w:pPr>
        <w:pStyle w:val="24"/>
        <w:spacing w:line="420" w:lineRule="auto"/>
        <w:ind w:firstLine="480"/>
        <w:rPr>
          <w:rFonts w:hint="eastAsia" w:ascii="宋体" w:hAnsi="宋体" w:cs="宋体"/>
          <w:color w:val="auto"/>
          <w:highlight w:val="none"/>
          <w:lang w:val="en-GB"/>
        </w:rPr>
      </w:pPr>
      <w:r>
        <w:rPr>
          <w:rFonts w:hint="eastAsia" w:ascii="宋体" w:hAnsi="宋体" w:cs="宋体"/>
          <w:color w:val="auto"/>
          <w:highlight w:val="none"/>
          <w:lang w:val="en-GB"/>
        </w:rPr>
        <w:t>我单位特授权委任：以下人员作为我方唯一全权代表，前往贵单位办理采购业务（</w:t>
      </w:r>
      <w:r>
        <w:rPr>
          <w:rFonts w:hint="eastAsia" w:ascii="宋体" w:hAnsi="宋体" w:cs="宋体"/>
          <w:color w:val="auto"/>
          <w:highlight w:val="none"/>
          <w:u w:val="single"/>
          <w:lang w:val="en-GB"/>
        </w:rPr>
        <w:t xml:space="preserve"> 递交项目质疑函 </w:t>
      </w:r>
      <w:r>
        <w:rPr>
          <w:rFonts w:hint="eastAsia" w:ascii="宋体" w:hAnsi="宋体" w:cs="宋体"/>
          <w:color w:val="auto"/>
          <w:highlight w:val="none"/>
          <w:lang w:val="en-GB"/>
        </w:rPr>
        <w:t>），对该代表人所提供、签署的一切文书均视为符合我方的合法利益和真实意愿，我方愿为其行为承担全部责任。</w:t>
      </w:r>
    </w:p>
    <w:p w14:paraId="4F84473C">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项目编号： </w:t>
      </w:r>
      <w:r>
        <w:rPr>
          <w:rFonts w:hint="eastAsia" w:ascii="宋体" w:hAnsi="宋体" w:cs="宋体"/>
          <w:color w:val="auto"/>
          <w:highlight w:val="none"/>
        </w:rPr>
        <w:fldChar w:fldCharType="begin"/>
      </w:r>
      <w:r>
        <w:rPr>
          <w:rFonts w:hint="eastAsia" w:ascii="宋体" w:hAnsi="宋体" w:cs="宋体"/>
          <w:color w:val="auto"/>
          <w:highlight w:val="none"/>
        </w:rPr>
        <w:instrText xml:space="preserve"> DOCVARIABLE  采购编号  \* MERGEFORMAT </w:instrText>
      </w:r>
      <w:r>
        <w:rPr>
          <w:rFonts w:hint="eastAsia" w:ascii="宋体" w:hAnsi="宋体" w:cs="宋体"/>
          <w:color w:val="auto"/>
          <w:highlight w:val="none"/>
        </w:rPr>
        <w:fldChar w:fldCharType="end"/>
      </w:r>
    </w:p>
    <w:p w14:paraId="634CF8D6">
      <w:pPr>
        <w:pStyle w:val="24"/>
        <w:spacing w:line="420" w:lineRule="auto"/>
        <w:ind w:firstLine="480"/>
        <w:jc w:val="left"/>
        <w:rPr>
          <w:rFonts w:hint="eastAsia" w:ascii="宋体" w:hAnsi="宋体" w:cs="宋体"/>
          <w:bCs/>
          <w:color w:val="auto"/>
          <w:highlight w:val="none"/>
        </w:rPr>
      </w:pPr>
      <w:r>
        <w:rPr>
          <w:rFonts w:hint="eastAsia" w:ascii="宋体" w:hAnsi="宋体" w:cs="宋体"/>
          <w:color w:val="auto"/>
          <w:highlight w:val="none"/>
        </w:rPr>
        <w:t xml:space="preserve">项目名称： </w:t>
      </w:r>
    </w:p>
    <w:p w14:paraId="58C855BF">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委任授权代表姓名：</w:t>
      </w:r>
      <w:r>
        <w:rPr>
          <w:rFonts w:hint="eastAsia" w:ascii="宋体" w:hAnsi="宋体" w:cs="宋体"/>
          <w:color w:val="auto"/>
          <w:highlight w:val="none"/>
          <w:u w:val="single"/>
        </w:rPr>
        <w:t xml:space="preserve">                </w:t>
      </w: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14:paraId="2DAC5F78">
      <w:pPr>
        <w:pStyle w:val="24"/>
        <w:spacing w:line="420" w:lineRule="auto"/>
        <w:ind w:firstLine="480"/>
        <w:jc w:val="left"/>
        <w:rPr>
          <w:rFonts w:hint="eastAsia" w:ascii="宋体" w:hAnsi="宋体" w:cs="宋体"/>
          <w:color w:val="auto"/>
          <w:highlight w:val="none"/>
          <w:lang w:val="en-GB"/>
        </w:rPr>
      </w:pPr>
      <w:r>
        <w:rPr>
          <w:rFonts w:hint="eastAsia" w:ascii="宋体" w:hAnsi="宋体" w:cs="宋体"/>
          <w:color w:val="auto"/>
          <w:highlight w:val="none"/>
          <w:lang w:val="en-GB"/>
        </w:rPr>
        <w:t>联系电话：</w:t>
      </w:r>
      <w:r>
        <w:rPr>
          <w:rFonts w:hint="eastAsia" w:ascii="宋体" w:hAnsi="宋体" w:cs="宋体"/>
          <w:color w:val="auto"/>
          <w:highlight w:val="none"/>
          <w:u w:val="single"/>
          <w:lang w:val="en-GB"/>
        </w:rPr>
        <w:t xml:space="preserve">               </w:t>
      </w:r>
      <w:r>
        <w:rPr>
          <w:rFonts w:hint="eastAsia" w:ascii="宋体" w:hAnsi="宋体" w:cs="宋体"/>
          <w:color w:val="auto"/>
          <w:highlight w:val="none"/>
          <w:lang w:val="en-GB"/>
        </w:rPr>
        <w:t>；手机：</w:t>
      </w:r>
      <w:r>
        <w:rPr>
          <w:rFonts w:hint="eastAsia" w:ascii="宋体" w:hAnsi="宋体" w:cs="宋体"/>
          <w:color w:val="auto"/>
          <w:highlight w:val="none"/>
          <w:u w:val="single"/>
          <w:lang w:val="en-GB"/>
        </w:rPr>
        <w:t xml:space="preserve">               </w:t>
      </w:r>
      <w:r>
        <w:rPr>
          <w:rFonts w:hint="eastAsia" w:ascii="宋体" w:hAnsi="宋体" w:cs="宋体"/>
          <w:color w:val="auto"/>
          <w:highlight w:val="none"/>
          <w:lang w:val="en-GB"/>
        </w:rPr>
        <w:t>；</w:t>
      </w:r>
    </w:p>
    <w:p w14:paraId="3B28794B">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单位联系电话</w:t>
      </w:r>
      <w:r>
        <w:rPr>
          <w:rFonts w:hint="eastAsia" w:ascii="宋体" w:hAnsi="宋体" w:cs="宋体"/>
          <w:color w:val="auto"/>
          <w:highlight w:val="none"/>
          <w:lang w:val="en-GB"/>
        </w:rPr>
        <w:t>：</w:t>
      </w:r>
      <w:r>
        <w:rPr>
          <w:rFonts w:hint="eastAsia" w:ascii="宋体" w:hAnsi="宋体" w:cs="宋体"/>
          <w:color w:val="auto"/>
          <w:highlight w:val="none"/>
          <w:u w:val="single"/>
          <w:lang w:val="en-GB"/>
        </w:rPr>
        <w:t xml:space="preserve">               </w:t>
      </w:r>
      <w:r>
        <w:rPr>
          <w:rFonts w:hint="eastAsia" w:ascii="宋体" w:hAnsi="宋体" w:cs="宋体"/>
          <w:color w:val="auto"/>
          <w:highlight w:val="none"/>
          <w:lang w:val="en-GB"/>
        </w:rPr>
        <w:t>；传真：</w:t>
      </w:r>
      <w:r>
        <w:rPr>
          <w:rFonts w:hint="eastAsia" w:ascii="宋体" w:hAnsi="宋体" w:cs="宋体"/>
          <w:color w:val="auto"/>
          <w:highlight w:val="none"/>
          <w:u w:val="single"/>
          <w:lang w:val="en-GB"/>
        </w:rPr>
        <w:t xml:space="preserve">              </w:t>
      </w:r>
      <w:r>
        <w:rPr>
          <w:rFonts w:hint="eastAsia" w:ascii="宋体" w:hAnsi="宋体" w:cs="宋体"/>
          <w:color w:val="auto"/>
          <w:highlight w:val="none"/>
          <w:lang w:val="en-GB"/>
        </w:rPr>
        <w:t>；邮编：</w:t>
      </w:r>
      <w:r>
        <w:rPr>
          <w:rFonts w:hint="eastAsia" w:ascii="宋体" w:hAnsi="宋体" w:cs="宋体"/>
          <w:color w:val="auto"/>
          <w:highlight w:val="none"/>
          <w:u w:val="single"/>
          <w:lang w:val="en-GB"/>
        </w:rPr>
        <w:t xml:space="preserve">           </w:t>
      </w:r>
      <w:r>
        <w:rPr>
          <w:rFonts w:hint="eastAsia" w:ascii="宋体" w:hAnsi="宋体" w:cs="宋体"/>
          <w:color w:val="auto"/>
          <w:highlight w:val="none"/>
          <w:lang w:val="en-GB"/>
        </w:rPr>
        <w:t>；</w:t>
      </w:r>
    </w:p>
    <w:p w14:paraId="1EEFEF77">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注册地址：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81372CF">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有效期限：自本单位盖章之日起至</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日截止。</w:t>
      </w:r>
    </w:p>
    <w:p w14:paraId="4A456255">
      <w:pPr>
        <w:pStyle w:val="24"/>
        <w:spacing w:line="420" w:lineRule="auto"/>
        <w:ind w:firstLine="480"/>
        <w:jc w:val="left"/>
        <w:rPr>
          <w:rFonts w:hint="eastAsia" w:ascii="宋体" w:hAnsi="宋体" w:cs="宋体"/>
          <w:color w:val="auto"/>
          <w:highlight w:val="none"/>
        </w:rPr>
      </w:pPr>
      <w:r>
        <w:rPr>
          <w:rFonts w:hint="eastAsia" w:ascii="宋体" w:hAnsi="宋体" w:cs="宋体"/>
          <w:color w:val="auto"/>
          <w:highlight w:val="none"/>
        </w:rPr>
        <w:t>特此授权证明。</w:t>
      </w:r>
    </w:p>
    <w:p w14:paraId="398E0A9F">
      <w:pPr>
        <w:pStyle w:val="24"/>
        <w:spacing w:line="360" w:lineRule="auto"/>
        <w:ind w:firstLine="480"/>
        <w:rPr>
          <w:rFonts w:hint="eastAsia" w:ascii="宋体" w:hAnsi="宋体" w:cs="宋体"/>
          <w:color w:val="auto"/>
          <w:highlight w:val="none"/>
          <w:lang w:val="en-GB"/>
        </w:rPr>
      </w:pPr>
    </w:p>
    <w:p w14:paraId="7B69B74A">
      <w:pPr>
        <w:pStyle w:val="24"/>
        <w:spacing w:line="480" w:lineRule="auto"/>
        <w:ind w:firstLine="480"/>
        <w:rPr>
          <w:rFonts w:hint="eastAsia" w:ascii="宋体" w:hAnsi="宋体" w:cs="宋体"/>
          <w:color w:val="auto"/>
          <w:highlight w:val="none"/>
          <w:lang w:val="en-GB"/>
        </w:rPr>
      </w:pPr>
      <w:r>
        <w:rPr>
          <w:rFonts w:hint="eastAsia" w:ascii="宋体" w:hAnsi="宋体" w:cs="宋体"/>
          <w:color w:val="auto"/>
          <w:highlight w:val="none"/>
          <w:lang w:val="en-GB"/>
        </w:rPr>
        <w:t>供应商名称：</w:t>
      </w:r>
      <w:r>
        <w:rPr>
          <w:rFonts w:hint="eastAsia" w:ascii="宋体" w:hAnsi="宋体" w:cs="宋体"/>
          <w:color w:val="auto"/>
          <w:highlight w:val="none"/>
          <w:u w:val="single"/>
        </w:rPr>
        <w:t xml:space="preserve">               </w:t>
      </w:r>
      <w:r>
        <w:rPr>
          <w:rFonts w:hint="eastAsia" w:ascii="宋体" w:hAnsi="宋体" w:cs="宋体"/>
          <w:color w:val="auto"/>
          <w:highlight w:val="none"/>
          <w:lang w:val="en-GB"/>
        </w:rPr>
        <w:t>（单位公章）</w:t>
      </w:r>
    </w:p>
    <w:p w14:paraId="18E39889">
      <w:pPr>
        <w:pStyle w:val="24"/>
        <w:spacing w:line="480" w:lineRule="auto"/>
        <w:ind w:firstLine="480"/>
        <w:rPr>
          <w:rFonts w:hint="eastAsia" w:ascii="宋体" w:hAnsi="宋体" w:cs="宋体"/>
          <w:color w:val="auto"/>
          <w:highlight w:val="none"/>
          <w:lang w:val="en-GB"/>
        </w:rPr>
      </w:pPr>
      <w:r>
        <w:rPr>
          <w:rFonts w:hint="eastAsia" w:ascii="宋体" w:hAnsi="宋体" w:cs="宋体"/>
          <w:color w:val="auto"/>
          <w:highlight w:val="none"/>
          <w:lang w:val="en-GB"/>
        </w:rPr>
        <w:t>法定代表人（主要负责人）：</w:t>
      </w:r>
      <w:r>
        <w:rPr>
          <w:rFonts w:hint="eastAsia" w:ascii="宋体" w:hAnsi="宋体" w:cs="宋体"/>
          <w:color w:val="auto"/>
          <w:highlight w:val="none"/>
          <w:u w:val="single"/>
        </w:rPr>
        <w:t xml:space="preserve">                      </w:t>
      </w:r>
      <w:r>
        <w:rPr>
          <w:rFonts w:hint="eastAsia" w:ascii="宋体" w:hAnsi="宋体" w:cs="宋体"/>
          <w:color w:val="auto"/>
          <w:highlight w:val="none"/>
          <w:lang w:val="en-GB"/>
        </w:rPr>
        <w:t>（签字或者盖章）</w:t>
      </w:r>
    </w:p>
    <w:p w14:paraId="7DF74ACA">
      <w:pPr>
        <w:pStyle w:val="24"/>
        <w:spacing w:line="480" w:lineRule="auto"/>
        <w:ind w:firstLine="480"/>
        <w:rPr>
          <w:rFonts w:hint="eastAsia" w:ascii="宋体" w:hAnsi="宋体" w:cs="宋体"/>
          <w:color w:val="auto"/>
          <w:highlight w:val="none"/>
          <w:lang w:val="en-GB"/>
        </w:rPr>
      </w:pPr>
      <w:r>
        <w:rPr>
          <w:rFonts w:hint="eastAsia" w:ascii="宋体" w:hAnsi="宋体" w:cs="宋体"/>
          <w:color w:val="auto"/>
          <w:highlight w:val="none"/>
          <w:lang w:val="en-GB"/>
        </w:rPr>
        <w:t>日 期 ：    年   月   日。</w:t>
      </w:r>
    </w:p>
    <w:p w14:paraId="04E95285">
      <w:pPr>
        <w:spacing w:line="360" w:lineRule="auto"/>
        <w:rPr>
          <w:color w:val="auto"/>
          <w:sz w:val="21"/>
          <w:szCs w:val="21"/>
          <w:highlight w:val="none"/>
        </w:rPr>
      </w:pPr>
      <w:r>
        <w:rPr>
          <w:rFonts w:hint="eastAsia"/>
          <w:color w:val="auto"/>
          <w:sz w:val="21"/>
          <w:szCs w:val="21"/>
          <w:highlight w:val="none"/>
        </w:rPr>
        <w:t>注：供应商为自然人的，应当由本人签字；供应商为法人或者其他组织的，应当由法定代表人、主要负责人签字或者盖章。</w:t>
      </w:r>
    </w:p>
    <w:p w14:paraId="46F6815D">
      <w:pPr>
        <w:spacing w:line="360" w:lineRule="auto"/>
        <w:rPr>
          <w:rFonts w:hint="eastAsia" w:ascii="宋体" w:hAnsi="宋体"/>
          <w:color w:val="auto"/>
          <w:highlight w:val="none"/>
        </w:rPr>
      </w:pPr>
    </w:p>
    <w:p w14:paraId="398C3C4D">
      <w:pPr>
        <w:rPr>
          <w:rFonts w:ascii="宋体" w:hAnsi="宋体"/>
          <w:color w:val="auto"/>
          <w:highlight w:val="none"/>
        </w:rPr>
      </w:pPr>
      <w:r>
        <w:rPr>
          <w:rFonts w:ascii="宋体" w:hAnsi="宋体"/>
          <w:color w:val="auto"/>
          <w:highlight w:val="none"/>
        </w:rPr>
        <w:br w:type="page"/>
      </w:r>
    </w:p>
    <w:p w14:paraId="4D5CEA82">
      <w:pPr>
        <w:rPr>
          <w:rFonts w:ascii="宋体" w:hAnsi="宋体"/>
          <w:color w:val="auto"/>
          <w:highlight w:val="none"/>
        </w:rPr>
      </w:pPr>
    </w:p>
    <w:p w14:paraId="5D16FB72">
      <w:pPr>
        <w:rPr>
          <w:rFonts w:ascii="宋体" w:hAnsi="宋体"/>
          <w:color w:val="auto"/>
          <w:highlight w:val="none"/>
        </w:rPr>
      </w:pPr>
    </w:p>
    <w:p w14:paraId="3E25671E">
      <w:pPr>
        <w:rPr>
          <w:rFonts w:ascii="宋体" w:hAnsi="宋体"/>
          <w:color w:val="auto"/>
          <w:highlight w:val="none"/>
        </w:rPr>
      </w:pPr>
    </w:p>
    <w:p w14:paraId="2532C32B">
      <w:pPr>
        <w:rPr>
          <w:rFonts w:ascii="宋体" w:hAnsi="宋体"/>
          <w:color w:val="auto"/>
          <w:highlight w:val="none"/>
        </w:rPr>
      </w:pPr>
    </w:p>
    <w:p w14:paraId="54540030">
      <w:pPr>
        <w:rPr>
          <w:rFonts w:ascii="宋体" w:hAnsi="宋体"/>
          <w:color w:val="auto"/>
          <w:highlight w:val="none"/>
        </w:rPr>
      </w:pPr>
    </w:p>
    <w:p w14:paraId="6CCB5BDE">
      <w:pPr>
        <w:rPr>
          <w:rFonts w:ascii="宋体" w:hAnsi="宋体"/>
          <w:color w:val="auto"/>
          <w:highlight w:val="none"/>
        </w:rPr>
      </w:pPr>
    </w:p>
    <w:p w14:paraId="043C1837">
      <w:pPr>
        <w:rPr>
          <w:rFonts w:hint="eastAsia" w:ascii="宋体" w:hAnsi="宋体"/>
          <w:color w:val="auto"/>
          <w:highlight w:val="none"/>
        </w:rPr>
      </w:pPr>
    </w:p>
    <w:p w14:paraId="6A3FA9A5">
      <w:pPr>
        <w:rPr>
          <w:rFonts w:hint="eastAsia" w:ascii="宋体" w:hAnsi="宋体"/>
          <w:color w:val="auto"/>
          <w:highlight w:val="none"/>
        </w:rPr>
      </w:pPr>
    </w:p>
    <w:p w14:paraId="6AFA5D3C">
      <w:pPr>
        <w:rPr>
          <w:rFonts w:ascii="宋体" w:hAnsi="宋体"/>
          <w:color w:val="auto"/>
          <w:highlight w:val="none"/>
        </w:rPr>
      </w:pPr>
    </w:p>
    <w:p w14:paraId="24500468">
      <w:pPr>
        <w:rPr>
          <w:rFonts w:ascii="宋体" w:hAnsi="宋体"/>
          <w:color w:val="auto"/>
          <w:highlight w:val="none"/>
        </w:rPr>
      </w:pPr>
    </w:p>
    <w:p w14:paraId="7FC707EC">
      <w:pPr>
        <w:rPr>
          <w:rFonts w:ascii="宋体" w:hAnsi="宋体"/>
          <w:color w:val="auto"/>
          <w:highlight w:val="none"/>
        </w:rPr>
      </w:pPr>
    </w:p>
    <w:p w14:paraId="0B74523F">
      <w:pPr>
        <w:rPr>
          <w:rFonts w:ascii="宋体" w:hAnsi="宋体"/>
          <w:color w:val="auto"/>
          <w:highlight w:val="none"/>
        </w:rPr>
      </w:pPr>
    </w:p>
    <w:p w14:paraId="2CB4C6D2">
      <w:pPr>
        <w:rPr>
          <w:rFonts w:ascii="宋体" w:hAnsi="宋体"/>
          <w:color w:val="auto"/>
          <w:highlight w:val="none"/>
        </w:rPr>
      </w:pPr>
    </w:p>
    <w:p w14:paraId="1B297FC7">
      <w:pPr>
        <w:keepNext/>
        <w:keepLines/>
        <w:widowControl w:val="0"/>
        <w:jc w:val="center"/>
        <w:outlineLvl w:val="0"/>
        <w:rPr>
          <w:rFonts w:ascii="宋体" w:hAnsi="宋体" w:eastAsia="宋体" w:cs="Times New Roman"/>
          <w:b/>
          <w:bCs/>
          <w:color w:val="auto"/>
          <w:kern w:val="44"/>
          <w:sz w:val="52"/>
          <w:szCs w:val="44"/>
          <w:highlight w:val="none"/>
          <w:lang w:val="en-US" w:eastAsia="zh-CN" w:bidi="ar-SA"/>
        </w:rPr>
      </w:pPr>
      <w:bookmarkStart w:id="93" w:name="_Toc13390"/>
      <w:bookmarkStart w:id="94" w:name="_Toc2145"/>
      <w:r>
        <w:rPr>
          <w:rFonts w:hint="eastAsia" w:ascii="宋体" w:hAnsi="宋体" w:eastAsia="宋体" w:cs="Times New Roman"/>
          <w:b/>
          <w:bCs/>
          <w:color w:val="auto"/>
          <w:kern w:val="44"/>
          <w:sz w:val="52"/>
          <w:szCs w:val="44"/>
          <w:highlight w:val="none"/>
          <w:lang w:val="en-US" w:eastAsia="zh-CN" w:bidi="ar-SA"/>
        </w:rPr>
        <w:t>第四部分</w:t>
      </w:r>
      <w:r>
        <w:rPr>
          <w:rFonts w:ascii="宋体" w:hAnsi="宋体" w:eastAsia="宋体" w:cs="Times New Roman"/>
          <w:b/>
          <w:bCs/>
          <w:color w:val="auto"/>
          <w:kern w:val="44"/>
          <w:sz w:val="52"/>
          <w:szCs w:val="44"/>
          <w:highlight w:val="none"/>
          <w:lang w:val="en-US" w:eastAsia="zh-CN" w:bidi="ar-SA"/>
        </w:rPr>
        <w:t xml:space="preserve">  </w:t>
      </w:r>
      <w:r>
        <w:rPr>
          <w:rFonts w:hint="eastAsia" w:ascii="宋体" w:hAnsi="宋体" w:eastAsia="宋体" w:cs="Times New Roman"/>
          <w:b/>
          <w:bCs/>
          <w:color w:val="auto"/>
          <w:kern w:val="44"/>
          <w:sz w:val="52"/>
          <w:szCs w:val="44"/>
          <w:highlight w:val="none"/>
          <w:lang w:val="en-US" w:eastAsia="zh-CN" w:bidi="ar-SA"/>
        </w:rPr>
        <w:t>合同书范本</w:t>
      </w:r>
      <w:bookmarkEnd w:id="93"/>
      <w:bookmarkEnd w:id="94"/>
    </w:p>
    <w:p w14:paraId="1D59812C">
      <w:pPr>
        <w:rPr>
          <w:rFonts w:ascii="宋体" w:hAnsi="宋体"/>
          <w:color w:val="auto"/>
          <w:highlight w:val="none"/>
        </w:rPr>
      </w:pPr>
    </w:p>
    <w:p w14:paraId="2743FED0">
      <w:pPr>
        <w:rPr>
          <w:rFonts w:ascii="宋体" w:hAnsi="宋体"/>
          <w:color w:val="auto"/>
          <w:highlight w:val="none"/>
        </w:rPr>
      </w:pPr>
    </w:p>
    <w:p w14:paraId="3C5F51D2">
      <w:pPr>
        <w:ind w:left="843" w:hanging="843" w:hangingChars="350"/>
        <w:rPr>
          <w:rFonts w:hint="eastAsia" w:ascii="宋体" w:hAnsi="宋体"/>
          <w:b/>
          <w:color w:val="auto"/>
          <w:szCs w:val="24"/>
          <w:highlight w:val="none"/>
          <w:u w:val="double"/>
        </w:rPr>
      </w:pPr>
      <w:r>
        <w:rPr>
          <w:rFonts w:hint="eastAsia" w:ascii="宋体" w:hAnsi="宋体"/>
          <w:b/>
          <w:color w:val="auto"/>
          <w:szCs w:val="24"/>
          <w:highlight w:val="none"/>
          <w:u w:val="double"/>
        </w:rPr>
        <w:t>注：</w:t>
      </w:r>
    </w:p>
    <w:p w14:paraId="02638E54">
      <w:pPr>
        <w:ind w:left="480" w:hanging="480" w:hangingChars="200"/>
        <w:rPr>
          <w:rFonts w:hint="eastAsia"/>
          <w:color w:val="auto"/>
          <w:szCs w:val="24"/>
          <w:highlight w:val="none"/>
        </w:rPr>
      </w:pPr>
      <w:r>
        <w:rPr>
          <w:rFonts w:hint="eastAsia"/>
          <w:color w:val="auto"/>
          <w:szCs w:val="24"/>
          <w:highlight w:val="none"/>
        </w:rPr>
        <w:t>1）本合同格式仅为合同的参考文本，合同签订双方可根据项目的具体要求进行修订。</w:t>
      </w:r>
    </w:p>
    <w:p w14:paraId="22906CB2">
      <w:pPr>
        <w:ind w:left="353" w:hanging="352" w:hangingChars="147"/>
        <w:rPr>
          <w:rFonts w:hint="eastAsia"/>
          <w:color w:val="auto"/>
          <w:szCs w:val="24"/>
          <w:highlight w:val="none"/>
        </w:rPr>
      </w:pPr>
      <w:r>
        <w:rPr>
          <w:rFonts w:hint="eastAsia"/>
          <w:color w:val="auto"/>
          <w:szCs w:val="24"/>
          <w:highlight w:val="none"/>
        </w:rPr>
        <w:t>2）合同标的、数量、金额、服务承诺、履约方式等必须与磋商文件和成交供应商的响应文件保持一致。</w:t>
      </w:r>
    </w:p>
    <w:p w14:paraId="0F70692B">
      <w:pPr>
        <w:ind w:left="353" w:hanging="352" w:hangingChars="147"/>
        <w:rPr>
          <w:color w:val="auto"/>
          <w:szCs w:val="24"/>
          <w:highlight w:val="none"/>
        </w:rPr>
      </w:pPr>
      <w:r>
        <w:rPr>
          <w:rFonts w:hint="eastAsia"/>
          <w:color w:val="auto"/>
          <w:szCs w:val="24"/>
          <w:highlight w:val="none"/>
        </w:rPr>
        <w:t>3）在不违反原采购方案要求和各方认可的文件内容前提下，合同当事人可对合同范本中个别非磋商文件规定和响应文件承诺的合同条款共同协商完善补充修订。</w:t>
      </w:r>
    </w:p>
    <w:p w14:paraId="233BE9FD">
      <w:pPr>
        <w:rPr>
          <w:rFonts w:hint="eastAsia" w:ascii="宋体" w:hAnsi="宋体"/>
          <w:color w:val="auto"/>
          <w:highlight w:val="none"/>
        </w:rPr>
      </w:pPr>
    </w:p>
    <w:p w14:paraId="1C732A5F">
      <w:pPr>
        <w:tabs>
          <w:tab w:val="left" w:pos="1440"/>
        </w:tabs>
        <w:spacing w:line="480" w:lineRule="auto"/>
        <w:jc w:val="center"/>
        <w:rPr>
          <w:rFonts w:hint="eastAsia" w:ascii="Times New Roman" w:hAnsi="Times New Roman" w:eastAsia="宋体" w:cs="Times New Roman"/>
          <w:color w:val="auto"/>
          <w:sz w:val="48"/>
          <w:szCs w:val="48"/>
          <w:highlight w:val="none"/>
          <w:lang w:eastAsia="zh-CN"/>
        </w:rPr>
      </w:pPr>
      <w:r>
        <w:rPr>
          <w:rFonts w:ascii="宋体" w:hAnsi="宋体"/>
          <w:color w:val="auto"/>
          <w:highlight w:val="none"/>
        </w:rPr>
        <w:br w:type="page"/>
      </w:r>
      <w:r>
        <w:rPr>
          <w:rFonts w:hint="eastAsia" w:ascii="Times New Roman" w:hAnsi="Times New Roman" w:eastAsia="宋体" w:cs="Times New Roman"/>
          <w:color w:val="auto"/>
          <w:sz w:val="48"/>
          <w:szCs w:val="48"/>
          <w:highlight w:val="none"/>
          <w:lang w:eastAsia="zh-CN"/>
        </w:rPr>
        <w:t>佛山市禅城区祖庙街道城建和水务办公室</w:t>
      </w:r>
    </w:p>
    <w:p w14:paraId="15B61586">
      <w:pPr>
        <w:tabs>
          <w:tab w:val="left" w:pos="1440"/>
        </w:tabs>
        <w:spacing w:line="480" w:lineRule="auto"/>
        <w:jc w:val="center"/>
        <w:rPr>
          <w:color w:val="auto"/>
          <w:sz w:val="48"/>
          <w:szCs w:val="48"/>
          <w:highlight w:val="none"/>
        </w:rPr>
      </w:pPr>
      <w:r>
        <w:rPr>
          <w:rFonts w:hint="eastAsia"/>
          <w:color w:val="auto"/>
          <w:sz w:val="48"/>
          <w:szCs w:val="48"/>
          <w:highlight w:val="none"/>
        </w:rPr>
        <w:t>采购项目</w:t>
      </w:r>
    </w:p>
    <w:p w14:paraId="11E4AAB0">
      <w:pPr>
        <w:spacing w:line="360" w:lineRule="auto"/>
        <w:rPr>
          <w:color w:val="auto"/>
          <w:highlight w:val="none"/>
        </w:rPr>
      </w:pPr>
    </w:p>
    <w:p w14:paraId="18DF2CC4">
      <w:pPr>
        <w:spacing w:line="360" w:lineRule="auto"/>
        <w:rPr>
          <w:color w:val="auto"/>
          <w:highlight w:val="none"/>
        </w:rPr>
      </w:pPr>
    </w:p>
    <w:p w14:paraId="12AA7021">
      <w:pPr>
        <w:tabs>
          <w:tab w:val="left" w:pos="1440"/>
        </w:tabs>
        <w:spacing w:line="480" w:lineRule="auto"/>
        <w:jc w:val="center"/>
        <w:rPr>
          <w:color w:val="auto"/>
          <w:sz w:val="68"/>
          <w:highlight w:val="none"/>
        </w:rPr>
      </w:pPr>
      <w:r>
        <w:rPr>
          <w:rFonts w:hint="eastAsia"/>
          <w:color w:val="auto"/>
          <w:sz w:val="68"/>
          <w:highlight w:val="none"/>
        </w:rPr>
        <w:t>合  同  书</w:t>
      </w:r>
    </w:p>
    <w:p w14:paraId="5BECD6E0">
      <w:pPr>
        <w:spacing w:line="360" w:lineRule="auto"/>
        <w:rPr>
          <w:color w:val="auto"/>
          <w:highlight w:val="none"/>
        </w:rPr>
      </w:pPr>
    </w:p>
    <w:p w14:paraId="24BA25F5">
      <w:pPr>
        <w:spacing w:line="360" w:lineRule="auto"/>
        <w:rPr>
          <w:color w:val="auto"/>
          <w:highlight w:val="none"/>
        </w:rPr>
      </w:pPr>
    </w:p>
    <w:p w14:paraId="7AD2F7A3">
      <w:pPr>
        <w:spacing w:line="360" w:lineRule="auto"/>
        <w:jc w:val="center"/>
        <w:rPr>
          <w:rFonts w:hint="eastAsia"/>
          <w:b/>
          <w:color w:val="auto"/>
          <w:highlight w:val="none"/>
        </w:rPr>
      </w:pPr>
      <w:r>
        <w:rPr>
          <w:rFonts w:hint="eastAsia"/>
          <w:b/>
          <w:color w:val="auto"/>
          <w:highlight w:val="none"/>
        </w:rPr>
        <w:t>合同编号：</w:t>
      </w:r>
    </w:p>
    <w:p w14:paraId="566B8FB9">
      <w:pPr>
        <w:spacing w:line="360" w:lineRule="auto"/>
        <w:jc w:val="center"/>
        <w:rPr>
          <w:rFonts w:hint="eastAsia"/>
          <w:b/>
          <w:color w:val="auto"/>
          <w:highlight w:val="none"/>
        </w:rPr>
      </w:pPr>
      <w:r>
        <w:rPr>
          <w:rFonts w:hint="eastAsia"/>
          <w:b/>
          <w:color w:val="auto"/>
          <w:highlight w:val="none"/>
        </w:rPr>
        <w:t>采购项目编号：</w:t>
      </w:r>
    </w:p>
    <w:p w14:paraId="53C0F52E">
      <w:pPr>
        <w:spacing w:line="360" w:lineRule="auto"/>
        <w:jc w:val="center"/>
        <w:rPr>
          <w:rFonts w:hint="eastAsia"/>
          <w:b/>
          <w:color w:val="auto"/>
          <w:highlight w:val="none"/>
        </w:rPr>
      </w:pPr>
      <w:r>
        <w:rPr>
          <w:rFonts w:hint="eastAsia"/>
          <w:b/>
          <w:color w:val="auto"/>
          <w:highlight w:val="none"/>
        </w:rPr>
        <w:t>项目名称：</w:t>
      </w:r>
      <w:r>
        <w:rPr>
          <w:rFonts w:hint="eastAsia" w:eastAsia="宋体"/>
          <w:b/>
          <w:color w:val="auto"/>
          <w:highlight w:val="none"/>
          <w:lang w:eastAsia="zh-CN"/>
        </w:rPr>
        <w:t>佛山市养老养生健康产业园项目保安服务</w:t>
      </w:r>
      <w:r>
        <w:rPr>
          <w:rFonts w:hint="eastAsia"/>
          <w:b/>
          <w:color w:val="auto"/>
          <w:highlight w:val="none"/>
        </w:rPr>
        <w:t xml:space="preserve"> </w:t>
      </w:r>
    </w:p>
    <w:p w14:paraId="098A5098">
      <w:pPr>
        <w:spacing w:line="360" w:lineRule="auto"/>
        <w:rPr>
          <w:color w:val="auto"/>
          <w:highlight w:val="none"/>
        </w:rPr>
      </w:pPr>
    </w:p>
    <w:p w14:paraId="70A2E503">
      <w:pPr>
        <w:spacing w:line="360" w:lineRule="auto"/>
        <w:rPr>
          <w:color w:val="auto"/>
          <w:highlight w:val="none"/>
        </w:rPr>
      </w:pPr>
    </w:p>
    <w:p w14:paraId="6CCDD284">
      <w:pPr>
        <w:spacing w:line="360" w:lineRule="auto"/>
        <w:rPr>
          <w:rFonts w:ascii="宋体" w:hAnsi="宋体"/>
          <w:color w:val="auto"/>
          <w:highlight w:val="none"/>
        </w:rPr>
      </w:pPr>
    </w:p>
    <w:p w14:paraId="75DA47BE">
      <w:pPr>
        <w:spacing w:line="360" w:lineRule="auto"/>
        <w:rPr>
          <w:rFonts w:ascii="宋体" w:hAnsi="宋体"/>
          <w:color w:val="auto"/>
          <w:highlight w:val="none"/>
        </w:rPr>
      </w:pPr>
    </w:p>
    <w:p w14:paraId="17721F2F">
      <w:pPr>
        <w:spacing w:line="360" w:lineRule="auto"/>
        <w:rPr>
          <w:rFonts w:ascii="宋体" w:hAnsi="宋体"/>
          <w:color w:val="auto"/>
          <w:highlight w:val="none"/>
        </w:rPr>
      </w:pPr>
    </w:p>
    <w:p w14:paraId="4FE23C26">
      <w:pPr>
        <w:spacing w:line="360" w:lineRule="auto"/>
        <w:rPr>
          <w:rFonts w:hint="eastAsia" w:ascii="宋体" w:hAnsi="宋体"/>
          <w:color w:val="auto"/>
          <w:highlight w:val="none"/>
        </w:rPr>
      </w:pPr>
    </w:p>
    <w:p w14:paraId="7B0FEEC3">
      <w:pPr>
        <w:spacing w:line="360" w:lineRule="auto"/>
        <w:ind w:left="480" w:leftChars="200" w:firstLine="2409" w:firstLineChars="1000"/>
        <w:rPr>
          <w:rFonts w:ascii="宋体" w:hAnsi="宋体"/>
          <w:b/>
          <w:color w:val="auto"/>
          <w:highlight w:val="none"/>
          <w:u w:val="single"/>
        </w:rPr>
      </w:pPr>
      <w:r>
        <w:rPr>
          <w:rFonts w:ascii="宋体" w:hAnsi="宋体"/>
          <w:b/>
          <w:color w:val="auto"/>
          <w:highlight w:val="none"/>
        </w:rPr>
        <w:t>甲方：</w:t>
      </w:r>
      <w:r>
        <w:rPr>
          <w:rFonts w:hint="eastAsia" w:ascii="宋体" w:hAnsi="宋体"/>
          <w:b/>
          <w:color w:val="auto"/>
          <w:highlight w:val="none"/>
          <w:u w:val="single"/>
        </w:rPr>
        <w:t xml:space="preserve">         （采购人）           </w:t>
      </w:r>
    </w:p>
    <w:p w14:paraId="492FFF40">
      <w:pPr>
        <w:spacing w:line="360" w:lineRule="auto"/>
        <w:ind w:left="480" w:leftChars="200" w:firstLine="2409" w:firstLineChars="1000"/>
        <w:jc w:val="left"/>
        <w:rPr>
          <w:rFonts w:ascii="宋体" w:hAnsi="宋体"/>
          <w:b/>
          <w:color w:val="auto"/>
          <w:highlight w:val="none"/>
          <w:u w:val="single"/>
        </w:rPr>
      </w:pPr>
      <w:r>
        <w:rPr>
          <w:rFonts w:ascii="宋体" w:hAnsi="宋体"/>
          <w:b/>
          <w:color w:val="auto"/>
          <w:highlight w:val="none"/>
        </w:rPr>
        <w:t>乙方：</w:t>
      </w:r>
      <w:r>
        <w:rPr>
          <w:rFonts w:hint="eastAsia" w:ascii="宋体" w:hAnsi="宋体"/>
          <w:b/>
          <w:color w:val="auto"/>
          <w:highlight w:val="none"/>
          <w:u w:val="single"/>
        </w:rPr>
        <w:t xml:space="preserve">         （</w:t>
      </w:r>
      <w:r>
        <w:rPr>
          <w:rFonts w:hint="eastAsia" w:ascii="宋体" w:hAnsi="宋体"/>
          <w:b/>
          <w:color w:val="auto"/>
          <w:highlight w:val="none"/>
          <w:u w:val="single"/>
          <w:lang w:eastAsia="zh-CN"/>
        </w:rPr>
        <w:t>成交供应商</w:t>
      </w:r>
      <w:r>
        <w:rPr>
          <w:rFonts w:hint="eastAsia" w:ascii="宋体" w:hAnsi="宋体"/>
          <w:b/>
          <w:color w:val="auto"/>
          <w:highlight w:val="none"/>
          <w:u w:val="single"/>
        </w:rPr>
        <w:t>）</w:t>
      </w:r>
    </w:p>
    <w:p w14:paraId="1AF4C1AB">
      <w:pPr>
        <w:autoSpaceDE w:val="0"/>
        <w:autoSpaceDN w:val="0"/>
        <w:adjustRightInd w:val="0"/>
        <w:spacing w:line="200" w:lineRule="exact"/>
        <w:jc w:val="center"/>
        <w:rPr>
          <w:rFonts w:hAnsi="宋体"/>
          <w:b/>
          <w:color w:val="auto"/>
          <w:highlight w:val="none"/>
        </w:rPr>
      </w:pPr>
    </w:p>
    <w:p w14:paraId="175D338C">
      <w:pPr>
        <w:spacing w:line="420" w:lineRule="auto"/>
        <w:ind w:firstLine="2891" w:firstLineChars="1200"/>
        <w:rPr>
          <w:rFonts w:hint="eastAsia" w:ascii="宋体" w:hAnsi="宋体" w:cs="宋体"/>
          <w:b/>
          <w:color w:val="auto"/>
          <w:highlight w:val="none"/>
        </w:rPr>
      </w:pPr>
      <w:r>
        <w:rPr>
          <w:rFonts w:hint="eastAsia"/>
          <w:b/>
          <w:color w:val="auto"/>
          <w:highlight w:val="none"/>
        </w:rPr>
        <w:t>签订日期：       年         月</w:t>
      </w:r>
      <w:r>
        <w:rPr>
          <w:rFonts w:hint="eastAsia"/>
          <w:b/>
          <w:color w:val="auto"/>
          <w:highlight w:val="none"/>
        </w:rPr>
        <w:br w:type="page"/>
      </w:r>
      <w:r>
        <w:rPr>
          <w:rFonts w:hint="eastAsia" w:ascii="宋体" w:hAnsi="宋体" w:cs="宋体"/>
          <w:b/>
          <w:color w:val="auto"/>
          <w:highlight w:val="none"/>
        </w:rPr>
        <w:t>甲      方：</w:t>
      </w:r>
      <w:r>
        <w:rPr>
          <w:rFonts w:hint="eastAsia" w:ascii="宋体" w:hAnsi="宋体" w:cs="宋体"/>
          <w:b/>
          <w:color w:val="auto"/>
          <w:highlight w:val="none"/>
          <w:u w:val="single"/>
        </w:rPr>
        <w:t xml:space="preserve"> （采购人）          </w:t>
      </w:r>
    </w:p>
    <w:p w14:paraId="75E9DD60">
      <w:pPr>
        <w:spacing w:line="420" w:lineRule="auto"/>
        <w:rPr>
          <w:rFonts w:hint="eastAsia" w:ascii="宋体" w:hAnsi="宋体" w:cs="宋体"/>
          <w:b/>
          <w:color w:val="auto"/>
          <w:highlight w:val="none"/>
        </w:rPr>
      </w:pPr>
      <w:r>
        <w:rPr>
          <w:rFonts w:hint="eastAsia" w:ascii="宋体" w:hAnsi="宋体" w:cs="宋体"/>
          <w:b/>
          <w:color w:val="auto"/>
          <w:highlight w:val="none"/>
        </w:rPr>
        <w:t>乙      方：</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eastAsia="zh-CN"/>
        </w:rPr>
        <w:t>成交供应商</w:t>
      </w:r>
      <w:r>
        <w:rPr>
          <w:rFonts w:hint="eastAsia" w:ascii="宋体" w:hAnsi="宋体" w:cs="宋体"/>
          <w:b/>
          <w:color w:val="auto"/>
          <w:highlight w:val="none"/>
          <w:u w:val="single"/>
        </w:rPr>
        <w:t xml:space="preserve">）      </w:t>
      </w:r>
    </w:p>
    <w:p w14:paraId="0670F591">
      <w:pPr>
        <w:spacing w:line="420" w:lineRule="auto"/>
        <w:rPr>
          <w:rFonts w:hint="eastAsia" w:ascii="宋体" w:hAnsi="宋体" w:cs="宋体"/>
          <w:b/>
          <w:color w:val="auto"/>
          <w:highlight w:val="none"/>
          <w:u w:val="single"/>
        </w:rPr>
      </w:pPr>
      <w:r>
        <w:rPr>
          <w:rFonts w:hint="eastAsia" w:ascii="宋体" w:hAnsi="宋体" w:cs="宋体"/>
          <w:b/>
          <w:color w:val="auto"/>
          <w:highlight w:val="none"/>
        </w:rPr>
        <w:t>合同见证方：</w:t>
      </w:r>
      <w:r>
        <w:rPr>
          <w:rFonts w:hint="eastAsia" w:ascii="宋体" w:hAnsi="宋体" w:cs="宋体"/>
          <w:b/>
          <w:color w:val="auto"/>
          <w:highlight w:val="none"/>
          <w:u w:val="single"/>
          <w:lang w:eastAsia="zh-CN"/>
        </w:rPr>
        <w:t>华睿诚项目管理有限公司</w:t>
      </w:r>
      <w:r>
        <w:rPr>
          <w:rFonts w:hint="eastAsia" w:ascii="宋体" w:hAnsi="宋体" w:cs="宋体"/>
          <w:b/>
          <w:color w:val="auto"/>
          <w:highlight w:val="none"/>
          <w:u w:val="single"/>
        </w:rPr>
        <w:t xml:space="preserve"> </w:t>
      </w:r>
    </w:p>
    <w:p w14:paraId="3F03AE3E">
      <w:pPr>
        <w:autoSpaceDE w:val="0"/>
        <w:autoSpaceDN w:val="0"/>
        <w:adjustRightInd w:val="0"/>
        <w:spacing w:line="220" w:lineRule="exact"/>
        <w:jc w:val="center"/>
        <w:rPr>
          <w:rFonts w:ascii="宋体" w:hAnsi="宋体" w:cs="宋体"/>
          <w:color w:val="auto"/>
          <w:kern w:val="0"/>
          <w:sz w:val="20"/>
          <w:highlight w:val="none"/>
        </w:rPr>
      </w:pPr>
    </w:p>
    <w:p w14:paraId="13039446">
      <w:pPr>
        <w:spacing w:line="360" w:lineRule="auto"/>
        <w:ind w:firstLine="480" w:firstLineChars="200"/>
        <w:rPr>
          <w:rFonts w:hint="eastAsia" w:ascii="宋体" w:hAnsi="宋体" w:cs="宋体"/>
          <w:color w:val="auto"/>
          <w:kern w:val="28"/>
          <w:highlight w:val="none"/>
        </w:rPr>
      </w:pPr>
      <w:r>
        <w:rPr>
          <w:rFonts w:hint="eastAsia" w:ascii="宋体" w:hAnsi="宋体" w:cs="宋体"/>
          <w:color w:val="auto"/>
          <w:highlight w:val="none"/>
        </w:rPr>
        <w:t>根据</w:t>
      </w:r>
      <w:r>
        <w:rPr>
          <w:rFonts w:hint="eastAsia" w:ascii="宋体" w:hAnsi="宋体" w:cs="宋体"/>
          <w:color w:val="auto"/>
          <w:highlight w:val="none"/>
          <w:u w:val="single"/>
          <w:lang w:eastAsia="zh-CN"/>
        </w:rPr>
        <w:t>佛山市养老养生健康产业园项目保安服务</w:t>
      </w:r>
      <w:r>
        <w:rPr>
          <w:rFonts w:hint="eastAsia" w:ascii="宋体" w:hAnsi="宋体" w:cs="宋体"/>
          <w:color w:val="auto"/>
          <w:highlight w:val="none"/>
          <w:u w:val="single"/>
        </w:rPr>
        <w:t xml:space="preserve"> </w:t>
      </w:r>
      <w:r>
        <w:rPr>
          <w:rFonts w:hint="eastAsia" w:ascii="宋体" w:hAnsi="宋体" w:cs="宋体"/>
          <w:color w:val="auto"/>
          <w:highlight w:val="none"/>
        </w:rPr>
        <w:t>的采购结果，</w:t>
      </w:r>
      <w:r>
        <w:rPr>
          <w:rFonts w:hint="eastAsia" w:ascii="宋体" w:hAnsi="宋体" w:cs="宋体"/>
          <w:color w:val="auto"/>
          <w:highlight w:val="none"/>
          <w:lang w:val="en-US" w:eastAsia="zh-CN"/>
        </w:rPr>
        <w:t>参</w:t>
      </w:r>
      <w:r>
        <w:rPr>
          <w:rFonts w:hint="eastAsia" w:ascii="宋体" w:hAnsi="宋体" w:cs="宋体"/>
          <w:color w:val="auto"/>
          <w:highlight w:val="none"/>
        </w:rPr>
        <w:t>照《中华人民共和国</w:t>
      </w:r>
      <w:r>
        <w:rPr>
          <w:rFonts w:hint="eastAsia" w:ascii="宋体" w:hAnsi="宋体" w:cs="宋体"/>
          <w:color w:val="auto"/>
          <w:highlight w:val="none"/>
          <w:lang w:eastAsia="zh-CN"/>
        </w:rPr>
        <w:t>中华人民共和国政府采购法</w:t>
      </w:r>
      <w:r>
        <w:rPr>
          <w:rFonts w:hint="eastAsia" w:ascii="宋体" w:hAnsi="宋体" w:cs="宋体"/>
          <w:color w:val="auto"/>
          <w:highlight w:val="none"/>
        </w:rPr>
        <w:t>》、《中华人民共和国</w:t>
      </w:r>
      <w:r>
        <w:rPr>
          <w:rFonts w:hint="eastAsia" w:ascii="宋体" w:hAnsi="宋体" w:cs="宋体"/>
          <w:color w:val="auto"/>
          <w:highlight w:val="none"/>
          <w:lang w:eastAsia="zh-CN"/>
        </w:rPr>
        <w:t>民法典</w:t>
      </w:r>
      <w:r>
        <w:rPr>
          <w:rFonts w:hint="eastAsia" w:ascii="宋体" w:hAnsi="宋体" w:cs="宋体"/>
          <w:color w:val="auto"/>
          <w:highlight w:val="none"/>
        </w:rPr>
        <w:t>》、</w:t>
      </w:r>
      <w:r>
        <w:rPr>
          <w:rFonts w:hint="eastAsia" w:ascii="宋体" w:hAnsi="宋体" w:cs="宋体"/>
          <w:color w:val="auto"/>
          <w:highlight w:val="none"/>
          <w:lang w:val="en-US" w:eastAsia="zh-CN"/>
        </w:rPr>
        <w:t>磋商</w:t>
      </w:r>
      <w:r>
        <w:rPr>
          <w:rFonts w:hint="eastAsia" w:ascii="宋体" w:hAnsi="宋体" w:cs="宋体"/>
          <w:color w:val="auto"/>
          <w:highlight w:val="none"/>
        </w:rPr>
        <w:t>文件的要求，</w:t>
      </w:r>
      <w:r>
        <w:rPr>
          <w:rFonts w:hint="eastAsia" w:ascii="宋体" w:hAnsi="宋体" w:cs="宋体"/>
          <w:color w:val="auto"/>
          <w:kern w:val="28"/>
          <w:highlight w:val="none"/>
        </w:rPr>
        <w:t>经双方协商，</w:t>
      </w:r>
      <w:r>
        <w:rPr>
          <w:rFonts w:hint="eastAsia" w:ascii="宋体" w:hAnsi="宋体" w:cs="宋体"/>
          <w:color w:val="auto"/>
          <w:highlight w:val="none"/>
        </w:rPr>
        <w:t>本着平等互利和诚实信用的原则，</w:t>
      </w:r>
      <w:r>
        <w:rPr>
          <w:rFonts w:hint="eastAsia" w:ascii="宋体" w:hAnsi="宋体" w:cs="宋体"/>
          <w:color w:val="auto"/>
          <w:kern w:val="28"/>
          <w:highlight w:val="none"/>
        </w:rPr>
        <w:t>一致同意签订本合同如下。</w:t>
      </w:r>
    </w:p>
    <w:p w14:paraId="792206D1">
      <w:pPr>
        <w:spacing w:line="360" w:lineRule="auto"/>
        <w:rPr>
          <w:rFonts w:hint="eastAsia" w:ascii="宋体" w:hAnsi="宋体" w:cs="宋体"/>
          <w:b/>
          <w:bCs/>
          <w:color w:val="auto"/>
          <w:highlight w:val="none"/>
        </w:rPr>
      </w:pPr>
      <w:r>
        <w:rPr>
          <w:rFonts w:hint="eastAsia" w:ascii="宋体" w:hAnsi="宋体" w:cs="宋体"/>
          <w:b/>
          <w:bCs/>
          <w:color w:val="auto"/>
          <w:highlight w:val="none"/>
        </w:rPr>
        <w:t>一、项目名称及编号</w:t>
      </w:r>
    </w:p>
    <w:p w14:paraId="16B696A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1、项目名称：</w:t>
      </w:r>
      <w:r>
        <w:rPr>
          <w:rFonts w:hint="eastAsia" w:ascii="宋体" w:hAnsi="宋体" w:cs="宋体"/>
          <w:color w:val="auto"/>
          <w:highlight w:val="none"/>
          <w:lang w:eastAsia="zh-CN"/>
        </w:rPr>
        <w:t>佛山市养老养生健康产业园项目保安服务</w:t>
      </w:r>
      <w:r>
        <w:rPr>
          <w:rFonts w:hint="eastAsia" w:ascii="宋体" w:hAnsi="宋体" w:cs="宋体"/>
          <w:color w:val="auto"/>
          <w:highlight w:val="none"/>
        </w:rPr>
        <w:t xml:space="preserve"> </w:t>
      </w:r>
    </w:p>
    <w:p w14:paraId="097A6D32">
      <w:pPr>
        <w:spacing w:line="360" w:lineRule="auto"/>
        <w:ind w:firstLine="480" w:firstLineChars="200"/>
        <w:rPr>
          <w:rFonts w:hint="eastAsia"/>
          <w:lang w:eastAsia="zh-CN"/>
        </w:rPr>
      </w:pPr>
      <w:r>
        <w:rPr>
          <w:rFonts w:hint="eastAsia" w:ascii="宋体" w:hAnsi="宋体" w:cs="宋体"/>
          <w:color w:val="auto"/>
          <w:highlight w:val="none"/>
        </w:rPr>
        <w:t>2、采购项目编号：</w:t>
      </w:r>
      <w:r>
        <w:rPr>
          <w:rFonts w:hint="eastAsia" w:ascii="宋体" w:hAnsi="宋体" w:cs="宋体"/>
          <w:color w:val="auto"/>
          <w:highlight w:val="none"/>
          <w:lang w:eastAsia="zh-CN"/>
        </w:rPr>
        <w:t>HRC24FSCS0501</w:t>
      </w:r>
    </w:p>
    <w:p w14:paraId="1A7A3FCC">
      <w:pPr>
        <w:spacing w:line="360" w:lineRule="auto"/>
        <w:rPr>
          <w:rFonts w:hint="default" w:ascii="宋体" w:hAnsi="宋体" w:cs="宋体"/>
          <w:b/>
          <w:bCs/>
          <w:color w:val="auto"/>
          <w:highlight w:val="none"/>
          <w:lang w:val="en-US" w:eastAsia="zh-CN"/>
        </w:rPr>
      </w:pPr>
      <w:bookmarkStart w:id="95" w:name="_Toc78604606"/>
      <w:r>
        <w:rPr>
          <w:rFonts w:hint="eastAsia" w:ascii="宋体" w:hAnsi="宋体" w:cs="宋体"/>
          <w:b/>
          <w:bCs/>
          <w:color w:val="auto"/>
          <w:highlight w:val="none"/>
        </w:rPr>
        <w:t>二、</w:t>
      </w:r>
      <w:r>
        <w:rPr>
          <w:rFonts w:hint="eastAsia" w:ascii="宋体" w:hAnsi="宋体" w:cs="宋体"/>
          <w:b/>
          <w:bCs/>
          <w:color w:val="auto"/>
          <w:highlight w:val="none"/>
          <w:lang w:val="en-US" w:eastAsia="zh-CN"/>
        </w:rPr>
        <w:t>采购服务内容及要求</w:t>
      </w:r>
    </w:p>
    <w:p w14:paraId="0E1AC1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1、服务内容</w:t>
      </w:r>
    </w:p>
    <w:p w14:paraId="44869AC4">
      <w:pPr>
        <w:widowControl w:val="0"/>
        <w:spacing w:line="360" w:lineRule="auto"/>
        <w:ind w:left="0" w:leftChars="0" w:right="-10" w:rightChars="0" w:firstLine="480" w:firstLineChars="200"/>
        <w:jc w:val="both"/>
        <w:rPr>
          <w:rFonts w:hint="eastAsia" w:ascii="宋体" w:hAnsi="宋体" w:eastAsia="宋体" w:cs="宋体"/>
          <w:color w:val="auto"/>
          <w:kern w:val="2"/>
          <w:sz w:val="24"/>
          <w:szCs w:val="24"/>
          <w:highlight w:val="none"/>
          <w:shd w:val="clear" w:color="auto" w:fill="FFFFFF"/>
          <w:lang w:val="en-US" w:eastAsia="zh-CN" w:bidi="ar"/>
        </w:rPr>
      </w:pPr>
      <w:r>
        <w:rPr>
          <w:rFonts w:hint="eastAsia" w:ascii="Times New Roman" w:hAnsi="Times New Roman" w:eastAsia="宋体" w:cs="Times New Roman"/>
          <w:kern w:val="2"/>
          <w:sz w:val="24"/>
          <w:szCs w:val="22"/>
          <w:highlight w:val="none"/>
          <w:lang w:val="en-US" w:eastAsia="zh-CN" w:bidi="ar-SA"/>
        </w:rPr>
        <w:t>为</w:t>
      </w:r>
      <w:r>
        <w:rPr>
          <w:rFonts w:hint="eastAsia" w:ascii="宋体" w:hAnsi="宋体" w:eastAsia="宋体" w:cs="宋体"/>
          <w:color w:val="auto"/>
          <w:kern w:val="2"/>
          <w:sz w:val="24"/>
          <w:szCs w:val="24"/>
          <w:highlight w:val="none"/>
          <w:shd w:val="clear" w:color="auto" w:fill="FFFFFF"/>
          <w:lang w:val="en-US" w:eastAsia="zh-CN" w:bidi="ar"/>
        </w:rPr>
        <w:t>佛山市养老养生健康产业园项目提供保安服务。</w:t>
      </w:r>
    </w:p>
    <w:p w14:paraId="0085F3DC">
      <w:pPr>
        <w:widowControl w:val="0"/>
        <w:spacing w:line="360" w:lineRule="auto"/>
        <w:ind w:left="0" w:leftChars="0" w:right="-10" w:rightChars="0" w:firstLine="480" w:firstLineChars="200"/>
        <w:jc w:val="both"/>
        <w:rPr>
          <w:rFonts w:hint="default"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2、项目内容</w:t>
      </w:r>
    </w:p>
    <w:p w14:paraId="781D81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本项目位于佛罗公路，禅城区中山公园以西，佛山市化纤集团以东，汾江河以北，铁路以南片区，共设4个岗位，每个岗位安排3名保安人员，补休人员3名，全年每天24小时，采用三班制，负责佛山市养老养生健康产业园项目改造区域内的安保工作及高峰时段车辆指引等秩序维护工作。如遇突发事件，安保人员应将及时到场处理，确保安保工程顺利开展。</w:t>
      </w:r>
    </w:p>
    <w:p w14:paraId="07EA13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保安人员岗位设置、具体人数根据动迁实际需要进行增减，</w:t>
      </w:r>
      <w:r>
        <w:rPr>
          <w:rFonts w:hint="eastAsia" w:cs="Times New Roman"/>
          <w:kern w:val="2"/>
          <w:sz w:val="24"/>
          <w:szCs w:val="22"/>
          <w:highlight w:val="none"/>
          <w:lang w:val="en-US" w:eastAsia="zh-CN" w:bidi="ar-SA"/>
        </w:rPr>
        <w:t>甲方</w:t>
      </w:r>
      <w:r>
        <w:rPr>
          <w:rFonts w:hint="eastAsia" w:ascii="Times New Roman" w:hAnsi="Times New Roman" w:eastAsia="宋体" w:cs="Times New Roman"/>
          <w:kern w:val="2"/>
          <w:sz w:val="24"/>
          <w:szCs w:val="22"/>
          <w:highlight w:val="none"/>
          <w:lang w:val="en-US" w:eastAsia="zh-CN" w:bidi="ar-SA"/>
        </w:rPr>
        <w:t>如需岗位增(减)人员，应经与乙方双方协商后以书面形式确定。</w:t>
      </w:r>
    </w:p>
    <w:p w14:paraId="0B8640F2">
      <w:pPr>
        <w:widowControl w:val="0"/>
        <w:spacing w:line="360" w:lineRule="auto"/>
        <w:ind w:left="0" w:leftChars="0" w:right="-10" w:rightChars="0" w:firstLine="480" w:firstLineChars="200"/>
        <w:jc w:val="both"/>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3、保安服务的主要职责</w:t>
      </w:r>
    </w:p>
    <w:p w14:paraId="45CDAFC3">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全面负</w:t>
      </w:r>
      <w:r>
        <w:rPr>
          <w:rFonts w:hint="eastAsia" w:ascii="Times New Roman" w:hAnsi="Times New Roman" w:eastAsia="宋体" w:cs="Times New Roman"/>
          <w:kern w:val="2"/>
          <w:sz w:val="24"/>
          <w:szCs w:val="22"/>
          <w:highlight w:val="none"/>
          <w:lang w:val="en-US" w:eastAsia="zh-CN" w:bidi="ar-SA"/>
        </w:rPr>
        <w:t>责甲方</w:t>
      </w:r>
      <w:r>
        <w:rPr>
          <w:rFonts w:hint="default" w:ascii="Times New Roman" w:hAnsi="Times New Roman" w:eastAsia="宋体" w:cs="Times New Roman"/>
          <w:kern w:val="2"/>
          <w:sz w:val="24"/>
          <w:szCs w:val="22"/>
          <w:highlight w:val="none"/>
          <w:lang w:val="en-US" w:eastAsia="zh-CN" w:bidi="ar-SA"/>
        </w:rPr>
        <w:t>辖区反恐维稳、安全保卫、治安管理，以及消防、抢险、防盗、巡逻、执勤工作，及时发现和消除治安和消防隐患;</w:t>
      </w:r>
    </w:p>
    <w:p w14:paraId="75394B4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在</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指定人员的组织和领导下，积极做好职责内的各项工作，主动与</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指定人员、所属派出所等单位沟通汇报;</w:t>
      </w:r>
    </w:p>
    <w:p w14:paraId="16F0214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配合</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指定人员工作，积极有序的对过往车辆及人员进行管理，及时处理该项目内各类纠纷，迅速且正确地处理各类突发事件，避免事态恶化，确保项目安全运行;</w:t>
      </w:r>
    </w:p>
    <w:p w14:paraId="3D183D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随时出勤，为项目辖区内人员提供紧应急处突、急救助服务;</w:t>
      </w:r>
    </w:p>
    <w:p w14:paraId="6D5FEA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配合公安机关，反恐维稳和打击该项目辖区内与周边的违法犯罪活动。</w:t>
      </w:r>
    </w:p>
    <w:p w14:paraId="15A851F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4.保安人员要求</w:t>
      </w:r>
    </w:p>
    <w:p w14:paraId="4A26F26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保安人员要求</w:t>
      </w:r>
    </w:p>
    <w:p w14:paraId="2B93FE49">
      <w:pPr>
        <w:keepNext w:val="0"/>
        <w:keepLines w:val="0"/>
        <w:pageBreakBefore w:val="0"/>
        <w:widowControl w:val="0"/>
        <w:kinsoku/>
        <w:wordWrap/>
        <w:overflowPunct/>
        <w:topLinePunct w:val="0"/>
        <w:autoSpaceDE/>
        <w:autoSpaceDN/>
        <w:bidi w:val="0"/>
        <w:adjustRightInd/>
        <w:snapToGrid/>
        <w:spacing w:after="0" w:line="360" w:lineRule="auto"/>
        <w:ind w:left="0" w:leftChars="0" w:firstLine="720" w:firstLineChars="3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1）乙方</w:t>
      </w:r>
      <w:r>
        <w:rPr>
          <w:rFonts w:hint="default" w:ascii="Times New Roman" w:hAnsi="Times New Roman" w:eastAsia="宋体" w:cs="Times New Roman"/>
          <w:kern w:val="2"/>
          <w:sz w:val="24"/>
          <w:szCs w:val="22"/>
          <w:highlight w:val="none"/>
          <w:lang w:val="en-US" w:eastAsia="zh-CN" w:bidi="ar-SA"/>
        </w:rPr>
        <w:t>聘用的保安人员应知法，懂法，守法，依法办事，须严格遵守保安从业规范，遵守</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安全管理规定;</w:t>
      </w:r>
    </w:p>
    <w:p w14:paraId="59249C9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保安服务项目经理要求:</w:t>
      </w:r>
    </w:p>
    <w:p w14:paraId="5FA02A1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男性，大专以上文化，年满18周岁以上，40周岁以下的中国公民，具有较高的政治思想素养和业务水平，有较强的组织协调能力，受过专门的保安业务培训，获得相关从业资格证书。</w:t>
      </w:r>
    </w:p>
    <w:p w14:paraId="0DFC73B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保安人员要求:</w:t>
      </w:r>
    </w:p>
    <w:p w14:paraId="1C6D6B8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①男性，高中毕业以上文化程度,年满 18 周岁以上,40 周岁以下的中国公民。身高 1.65米以上，五官端庄、视(裸)力1.0以上;身体健康、体貌端正、行为正常，没有传</w:t>
      </w:r>
      <w:r>
        <w:rPr>
          <w:rFonts w:hint="default" w:ascii="Times New Roman" w:hAnsi="Times New Roman" w:eastAsia="宋体" w:cs="Times New Roman"/>
          <w:b w:val="0"/>
          <w:bCs w:val="0"/>
          <w:kern w:val="2"/>
          <w:sz w:val="24"/>
          <w:szCs w:val="22"/>
          <w:highlight w:val="none"/>
          <w:lang w:val="en-US" w:eastAsia="zh-CN" w:bidi="ar-SA"/>
        </w:rPr>
        <w:t>染病和其</w:t>
      </w:r>
      <w:r>
        <w:rPr>
          <w:rFonts w:hint="default" w:ascii="宋体" w:hAnsi="宋体" w:eastAsia="宋体" w:cs="Courier New"/>
          <w:b w:val="0"/>
          <w:bCs w:val="0"/>
          <w:kern w:val="2"/>
          <w:sz w:val="24"/>
          <w:szCs w:val="22"/>
          <w:highlight w:val="none"/>
          <w:lang w:val="en-US" w:eastAsia="zh-CN" w:bidi="ar-SA"/>
        </w:rPr>
        <w:t>他恶</w:t>
      </w:r>
      <w:r>
        <w:rPr>
          <w:rFonts w:hint="default" w:ascii="Times New Roman" w:hAnsi="Times New Roman" w:eastAsia="宋体" w:cs="Times New Roman"/>
          <w:b w:val="0"/>
          <w:bCs w:val="0"/>
          <w:kern w:val="2"/>
          <w:sz w:val="24"/>
          <w:szCs w:val="22"/>
          <w:highlight w:val="none"/>
          <w:lang w:val="en-US" w:eastAsia="zh-CN" w:bidi="ar-SA"/>
        </w:rPr>
        <w:t>性疾病;杜绝有精神病及病史、有重大疾病病史、弱智及智力低下的人员进入保安队</w:t>
      </w:r>
      <w:r>
        <w:rPr>
          <w:rFonts w:hint="default" w:ascii="Times New Roman" w:hAnsi="Times New Roman" w:eastAsia="宋体" w:cs="Times New Roman"/>
          <w:kern w:val="2"/>
          <w:sz w:val="24"/>
          <w:szCs w:val="22"/>
          <w:highlight w:val="none"/>
          <w:lang w:val="en-US" w:eastAsia="zh-CN" w:bidi="ar-SA"/>
        </w:rPr>
        <w:t>伍(签订合同时，</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有权要求</w:t>
      </w:r>
      <w:r>
        <w:rPr>
          <w:rFonts w:hint="eastAsia" w:ascii="Times New Roman" w:hAnsi="Times New Roman" w:eastAsia="宋体" w:cs="Times New Roman"/>
          <w:kern w:val="2"/>
          <w:sz w:val="24"/>
          <w:szCs w:val="22"/>
          <w:highlight w:val="none"/>
          <w:lang w:val="en-US" w:eastAsia="zh-CN" w:bidi="ar-SA"/>
        </w:rPr>
        <w:t>乙方</w:t>
      </w:r>
      <w:r>
        <w:rPr>
          <w:rFonts w:hint="default" w:ascii="Times New Roman" w:hAnsi="Times New Roman" w:eastAsia="宋体" w:cs="Times New Roman"/>
          <w:kern w:val="2"/>
          <w:sz w:val="24"/>
          <w:szCs w:val="22"/>
          <w:highlight w:val="none"/>
          <w:lang w:val="en-US" w:eastAsia="zh-CN" w:bidi="ar-SA"/>
        </w:rPr>
        <w:t>提供三甲医院的体检证明材料)。</w:t>
      </w:r>
    </w:p>
    <w:p w14:paraId="116B707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②经审查证明，没有犯罪记录和其他不良嗜好、行为(如酗酒、赌博、吸毒等)。具体人员须经</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指定管理部门确认，方可派遣。</w:t>
      </w:r>
    </w:p>
    <w:p w14:paraId="1EE804C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③保安员须熟悉相关的保安业务管理知识。</w:t>
      </w:r>
    </w:p>
    <w:p w14:paraId="52AC26A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所聘用的保安人员应有吃苦耐劳的精神和高度的责任感，熟知项目内的管理规定严格履行岗位职责，善于发现各类问题，具备一定的管理经验和处理突发事件能力。</w:t>
      </w:r>
    </w:p>
    <w:p w14:paraId="390FE84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保安服务项目经理要加强对保安业务的管理，确保保安在该项目区内无违规和违法事件发生。不按以上要求执行，导致严重后果，由</w:t>
      </w:r>
      <w:r>
        <w:rPr>
          <w:rFonts w:hint="eastAsia" w:ascii="Times New Roman" w:hAnsi="Times New Roman" w:eastAsia="宋体" w:cs="Times New Roman"/>
          <w:kern w:val="2"/>
          <w:sz w:val="24"/>
          <w:szCs w:val="22"/>
          <w:highlight w:val="none"/>
          <w:lang w:val="en-US" w:eastAsia="zh-CN" w:bidi="ar-SA"/>
        </w:rPr>
        <w:t>乙方</w:t>
      </w:r>
      <w:r>
        <w:rPr>
          <w:rFonts w:hint="default" w:ascii="Times New Roman" w:hAnsi="Times New Roman" w:eastAsia="宋体" w:cs="Times New Roman"/>
          <w:kern w:val="2"/>
          <w:sz w:val="24"/>
          <w:szCs w:val="22"/>
          <w:highlight w:val="none"/>
          <w:lang w:val="en-US" w:eastAsia="zh-CN" w:bidi="ar-SA"/>
        </w:rPr>
        <w:t>负全责。</w:t>
      </w:r>
    </w:p>
    <w:p w14:paraId="3FD7F939">
      <w:pPr>
        <w:widowControl w:val="0"/>
        <w:spacing w:line="360" w:lineRule="auto"/>
        <w:ind w:left="0" w:leftChars="0" w:right="-10" w:rightChars="0" w:firstLine="480" w:firstLineChars="200"/>
        <w:jc w:val="both"/>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5.服务要求</w:t>
      </w:r>
    </w:p>
    <w:p w14:paraId="20973189">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r>
        <w:rPr>
          <w:rFonts w:hint="default" w:ascii="Times New Roman" w:hAnsi="Times New Roman" w:eastAsia="宋体" w:cs="Times New Roman"/>
          <w:kern w:val="2"/>
          <w:sz w:val="24"/>
          <w:szCs w:val="22"/>
          <w:highlight w:val="none"/>
          <w:lang w:val="en-US" w:eastAsia="zh-CN" w:bidi="ar-SA"/>
        </w:rPr>
        <w:t>树立“服务第一，业主至上”的思想，切实维护该项目区内人员的人身和财产安全</w:t>
      </w:r>
      <w:r>
        <w:rPr>
          <w:rFonts w:hint="eastAsia" w:ascii="Times New Roman" w:hAnsi="Times New Roman" w:eastAsia="宋体" w:cs="Times New Roman"/>
          <w:kern w:val="2"/>
          <w:sz w:val="24"/>
          <w:szCs w:val="22"/>
          <w:highlight w:val="none"/>
          <w:lang w:val="en-US" w:eastAsia="zh-CN" w:bidi="ar-SA"/>
        </w:rPr>
        <w:t>；</w:t>
      </w:r>
    </w:p>
    <w:p w14:paraId="08EC0706">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管理坚持原则、严密谨慎;服务以人为本、主动热情;处理问题高度</w:t>
      </w:r>
      <w:r>
        <w:rPr>
          <w:rFonts w:hint="eastAsia" w:ascii="Times New Roman" w:hAnsi="Times New Roman" w:eastAsia="宋体" w:cs="Times New Roman"/>
          <w:kern w:val="2"/>
          <w:sz w:val="24"/>
          <w:szCs w:val="22"/>
          <w:highlight w:val="none"/>
          <w:lang w:val="en-US" w:eastAsia="zh-CN" w:bidi="ar-SA"/>
        </w:rPr>
        <w:t>警惕</w:t>
      </w:r>
      <w:r>
        <w:rPr>
          <w:rFonts w:hint="default" w:ascii="Times New Roman" w:hAnsi="Times New Roman" w:eastAsia="宋体" w:cs="Times New Roman"/>
          <w:kern w:val="2"/>
          <w:sz w:val="24"/>
          <w:szCs w:val="22"/>
          <w:highlight w:val="none"/>
          <w:lang w:val="en-US" w:eastAsia="zh-CN" w:bidi="ar-SA"/>
        </w:rPr>
        <w:t>、有理有节;</w:t>
      </w:r>
    </w:p>
    <w:p w14:paraId="2DEBBD86">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上岗人员</w:t>
      </w:r>
      <w:r>
        <w:rPr>
          <w:rFonts w:hint="eastAsia" w:ascii="Times New Roman" w:hAnsi="Times New Roman" w:eastAsia="宋体" w:cs="Times New Roman"/>
          <w:kern w:val="2"/>
          <w:sz w:val="24"/>
          <w:szCs w:val="22"/>
          <w:highlight w:val="none"/>
          <w:lang w:val="en-US" w:eastAsia="zh-CN" w:bidi="ar-SA"/>
        </w:rPr>
        <w:t>需统一服装，服务期间须无条件按照甲方要求配备相关安保设备，</w:t>
      </w:r>
      <w:r>
        <w:rPr>
          <w:rFonts w:hint="default" w:ascii="Times New Roman" w:hAnsi="Times New Roman" w:eastAsia="宋体" w:cs="Times New Roman"/>
          <w:kern w:val="2"/>
          <w:sz w:val="24"/>
          <w:szCs w:val="22"/>
          <w:highlight w:val="none"/>
          <w:lang w:val="en-US" w:eastAsia="zh-CN" w:bidi="ar-SA"/>
        </w:rPr>
        <w:t>准时上(下)班，业务操作规范，礼貌待人，并做好上下班交接记录，保持岗位卫生整洁;</w:t>
      </w:r>
    </w:p>
    <w:p w14:paraId="35F24B64">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注意形象，依法办事，文明执勤，不与项目内人员发生争吵，杜绝保安与项目内人员发生冲突，禁止保安出手伤及人员人身安全;</w:t>
      </w:r>
    </w:p>
    <w:p w14:paraId="65278458">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严格按照</w:t>
      </w:r>
      <w:r>
        <w:rPr>
          <w:rFonts w:hint="eastAsia" w:ascii="Times New Roman" w:hAnsi="Times New Roman" w:eastAsia="宋体" w:cs="Times New Roman"/>
          <w:kern w:val="2"/>
          <w:sz w:val="24"/>
          <w:szCs w:val="22"/>
          <w:highlight w:val="none"/>
          <w:lang w:val="en-US" w:eastAsia="zh-CN" w:bidi="ar-SA"/>
        </w:rPr>
        <w:t>甲方</w:t>
      </w:r>
      <w:r>
        <w:rPr>
          <w:rFonts w:hint="default" w:ascii="Times New Roman" w:hAnsi="Times New Roman" w:eastAsia="宋体" w:cs="Times New Roman"/>
          <w:kern w:val="2"/>
          <w:sz w:val="24"/>
          <w:szCs w:val="22"/>
          <w:highlight w:val="none"/>
          <w:lang w:val="en-US" w:eastAsia="zh-CN" w:bidi="ar-SA"/>
        </w:rPr>
        <w:t>指定人员的指令执行。</w:t>
      </w:r>
    </w:p>
    <w:p w14:paraId="4F1BD2AF">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三、</w:t>
      </w:r>
      <w:r>
        <w:rPr>
          <w:rFonts w:hint="eastAsia" w:ascii="宋体" w:hAnsi="宋体" w:cs="宋体"/>
          <w:b/>
          <w:bCs/>
          <w:color w:val="auto"/>
          <w:highlight w:val="none"/>
        </w:rPr>
        <w:t>合同</w:t>
      </w:r>
      <w:bookmarkEnd w:id="95"/>
      <w:r>
        <w:rPr>
          <w:rFonts w:hint="eastAsia" w:ascii="宋体" w:hAnsi="宋体" w:cs="宋体"/>
          <w:b/>
          <w:bCs/>
          <w:color w:val="auto"/>
          <w:highlight w:val="none"/>
          <w:lang w:val="en-US" w:eastAsia="zh-CN"/>
        </w:rPr>
        <w:t>价款</w:t>
      </w:r>
    </w:p>
    <w:p w14:paraId="2680BE34">
      <w:pPr>
        <w:spacing w:line="360" w:lineRule="auto"/>
        <w:ind w:firstLine="480"/>
        <w:jc w:val="left"/>
        <w:rPr>
          <w:rFonts w:hint="eastAsia"/>
          <w:sz w:val="24"/>
          <w:highlight w:val="none"/>
        </w:rPr>
      </w:pPr>
      <w:bookmarkStart w:id="96" w:name="_Toc307934677"/>
      <w:bookmarkStart w:id="97" w:name="_Toc310520948"/>
      <w:bookmarkStart w:id="98" w:name="_Toc310943781"/>
      <w:bookmarkStart w:id="99" w:name="_Toc344953154"/>
      <w:bookmarkStart w:id="100" w:name="_Toc308452708"/>
      <w:bookmarkStart w:id="101" w:name="_Toc310518876"/>
      <w:bookmarkStart w:id="102" w:name="_Toc308452522"/>
      <w:r>
        <w:rPr>
          <w:rFonts w:hint="eastAsia" w:ascii="Calibri" w:eastAsia="宋体"/>
          <w:sz w:val="24"/>
          <w:highlight w:val="none"/>
          <w:lang w:val="en-US" w:eastAsia="zh-CN"/>
        </w:rPr>
        <w:t>每名保安员每月工资：</w:t>
      </w:r>
      <w:r>
        <w:rPr>
          <w:rFonts w:hint="eastAsia"/>
          <w:sz w:val="24"/>
          <w:highlight w:val="none"/>
        </w:rPr>
        <w:t>人民币小写:</w:t>
      </w:r>
      <w:r>
        <w:rPr>
          <w:rFonts w:hint="eastAsia"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u w:val="single"/>
        </w:rPr>
        <w:t>元</w:t>
      </w:r>
      <w:r>
        <w:rPr>
          <w:rFonts w:hint="eastAsia"/>
          <w:sz w:val="24"/>
          <w:highlight w:val="none"/>
        </w:rPr>
        <w:t xml:space="preserve"> </w:t>
      </w:r>
      <w:r>
        <w:rPr>
          <w:rFonts w:hint="eastAsia" w:ascii="Calibri" w:eastAsia="宋体"/>
          <w:sz w:val="24"/>
          <w:highlight w:val="none"/>
          <w:lang w:val="en-US" w:eastAsia="zh-CN"/>
        </w:rPr>
        <w:t xml:space="preserve"> </w:t>
      </w:r>
      <w:r>
        <w:rPr>
          <w:rFonts w:hint="eastAsia"/>
          <w:sz w:val="24"/>
          <w:highlight w:val="none"/>
        </w:rPr>
        <w:t>大写：</w:t>
      </w:r>
      <w:r>
        <w:rPr>
          <w:sz w:val="24"/>
          <w:highlight w:val="none"/>
          <w:u w:val="single"/>
        </w:rPr>
        <w:t xml:space="preserve">           </w:t>
      </w:r>
      <w:r>
        <w:rPr>
          <w:rFonts w:hint="eastAsia"/>
          <w:sz w:val="24"/>
          <w:highlight w:val="none"/>
          <w:u w:val="single"/>
        </w:rPr>
        <w:t xml:space="preserve"> </w:t>
      </w:r>
      <w:r>
        <w:rPr>
          <w:rFonts w:hint="eastAsia"/>
          <w:sz w:val="24"/>
          <w:highlight w:val="none"/>
        </w:rPr>
        <w:t>。</w:t>
      </w:r>
    </w:p>
    <w:p w14:paraId="19DFB5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1、报价中必须包含保安员基本工资、补贴费用等国家规定的相关福利和补贴、社会劳动保险、考核奖励金、从事保安工作所需器备、乙方的运营费用以及合同实施过程中的应预见和不可预见费用等;</w:t>
      </w:r>
    </w:p>
    <w:p w14:paraId="2E937C4E">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2、除基本工资外有关补贴包括非工作日和工作日晚餐餐费:节假日(以国务院公布为准)补贴费等国家规定的相关福利和补贴;但不包括法定节假日加班费、超时加班费:</w:t>
      </w:r>
    </w:p>
    <w:p w14:paraId="762A38A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4"/>
          <w:szCs w:val="22"/>
          <w:highlight w:val="none"/>
          <w:lang w:val="en-US" w:eastAsia="zh-CN" w:bidi="ar-SA"/>
        </w:rPr>
        <w:t>3、乙方必须按照《劳动合同法》的规定与保安人员建立劳动关系，按国家规定为保安员购买社会劳动保险(养老、失业、工伤、医疗和生育保险)，各险种的标准按照佛山市地区社会保险费征收标准缴纳。</w:t>
      </w:r>
    </w:p>
    <w:p w14:paraId="5D3C35A4">
      <w:pPr>
        <w:autoSpaceDE w:val="0"/>
        <w:autoSpaceDN w:val="0"/>
        <w:adjustRightInd w:val="0"/>
        <w:spacing w:line="360" w:lineRule="auto"/>
        <w:ind w:left="-504" w:leftChars="-210" w:firstLine="482" w:firstLineChars="200"/>
        <w:jc w:val="left"/>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Cs w:val="21"/>
          <w:highlight w:val="none"/>
          <w:lang w:val="en-US" w:eastAsia="zh-CN"/>
        </w:rPr>
        <w:t>四</w:t>
      </w:r>
      <w:r>
        <w:rPr>
          <w:rFonts w:hint="eastAsia" w:ascii="宋体" w:hAnsi="宋体"/>
          <w:b/>
          <w:color w:val="auto"/>
          <w:szCs w:val="21"/>
          <w:highlight w:val="none"/>
        </w:rPr>
        <w:t>、</w:t>
      </w:r>
      <w:r>
        <w:rPr>
          <w:rFonts w:hint="eastAsia" w:ascii="宋体" w:hAnsi="宋体" w:eastAsia="宋体" w:cs="Times New Roman"/>
          <w:b/>
          <w:color w:val="auto"/>
          <w:kern w:val="2"/>
          <w:sz w:val="24"/>
          <w:szCs w:val="24"/>
          <w:highlight w:val="none"/>
          <w:lang w:val="en-US" w:eastAsia="zh-CN" w:bidi="ar-SA"/>
        </w:rPr>
        <w:t xml:space="preserve">付款方式 </w:t>
      </w:r>
    </w:p>
    <w:p w14:paraId="69F0168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由甲方在每月的10号前支付上一个月的服务费用。</w:t>
      </w:r>
    </w:p>
    <w:p w14:paraId="2F3F2D3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每月支付服务费用=每月实际到岗人数×中标单价-考核扣罚（如有），乙方应于当月开具增值税普通发票给甲方。</w:t>
      </w:r>
    </w:p>
    <w:p w14:paraId="43322C96">
      <w:pPr>
        <w:autoSpaceDE w:val="0"/>
        <w:autoSpaceDN w:val="0"/>
        <w:adjustRightInd w:val="0"/>
        <w:spacing w:line="360" w:lineRule="auto"/>
        <w:ind w:left="-504" w:leftChars="-210" w:firstLine="482" w:firstLineChars="200"/>
        <w:jc w:val="left"/>
        <w:outlineLvl w:val="2"/>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五、付款要求</w:t>
      </w:r>
    </w:p>
    <w:p w14:paraId="31AE618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（1）乙方应向甲方提供依法纳税的发票。  </w:t>
      </w:r>
    </w:p>
    <w:p w14:paraId="1D079CF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（2）合同款以转账方式转入乙方的银行账户。   </w:t>
      </w:r>
    </w:p>
    <w:p w14:paraId="0195AD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（3）收款方、出具发票方、合同乙方均需与乙方名称一致。  </w:t>
      </w:r>
    </w:p>
    <w:p w14:paraId="4B24B8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4）乙方符合合同约定并已提供完整、合规的申请材料，甲方签署考核、验收确认书及申办每期付款手续可在15天内完成；甲方“付款”是指甲方向财政部门发出申请文件；甲方完成约定支付时限，不包含财政部门审核支付的时间。  </w:t>
      </w:r>
    </w:p>
    <w:p w14:paraId="0CA2F68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5）乙方应理解甲方付款的相关程序，因甲方使用的是财政资金，甲方在前款规定的付款时间为向财政支付部门提出办理财政支付申请手续的时间，不含财政支付部门审核的时间，甲方在约定期限内向财政支付部门发出付款申请即视为甲方已按期支付。因财政支付审批流程及办理手续而造成项目支付进度有所推延，甲方不承担逾期付款违约责任。  </w:t>
      </w:r>
    </w:p>
    <w:p w14:paraId="7073E4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（6）因政府财政部门跨年国库关闸、年底封账，不能按约定时间办理支付进度款，乙方可提前办理申请手续；若因此导致逾期付款，甲方不承担逾期付款违约责任。  </w:t>
      </w:r>
    </w:p>
    <w:p w14:paraId="249027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（7）本合同实施过程中,所发生的一切税费及不可预见费均由乙方承担。</w:t>
      </w:r>
    </w:p>
    <w:p w14:paraId="5C3D7C5C">
      <w:pPr>
        <w:autoSpaceDE w:val="0"/>
        <w:autoSpaceDN w:val="0"/>
        <w:adjustRightInd w:val="0"/>
        <w:spacing w:line="360" w:lineRule="auto"/>
        <w:ind w:left="-504" w:leftChars="-210" w:firstLine="482" w:firstLineChars="200"/>
        <w:jc w:val="left"/>
        <w:outlineLvl w:val="2"/>
        <w:rPr>
          <w:rFonts w:hint="eastAsia"/>
        </w:rPr>
      </w:pPr>
      <w:r>
        <w:rPr>
          <w:rFonts w:hint="eastAsia" w:ascii="宋体" w:hAnsi="宋体"/>
          <w:b/>
          <w:color w:val="auto"/>
          <w:szCs w:val="21"/>
          <w:highlight w:val="none"/>
          <w:lang w:val="en-US" w:eastAsia="zh-CN"/>
        </w:rPr>
        <w:t>六、</w:t>
      </w:r>
      <w:r>
        <w:rPr>
          <w:rFonts w:hint="eastAsia" w:ascii="宋体" w:hAnsi="宋体"/>
          <w:b/>
          <w:color w:val="auto"/>
          <w:szCs w:val="21"/>
          <w:highlight w:val="none"/>
        </w:rPr>
        <w:t>服务</w:t>
      </w:r>
      <w:r>
        <w:rPr>
          <w:rFonts w:hint="eastAsia" w:ascii="宋体" w:hAnsi="宋体"/>
          <w:b/>
          <w:color w:val="auto"/>
          <w:szCs w:val="21"/>
          <w:highlight w:val="none"/>
          <w:lang w:val="en-US" w:eastAsia="zh-CN"/>
        </w:rPr>
        <w:t>地点</w:t>
      </w:r>
      <w:r>
        <w:rPr>
          <w:rFonts w:hint="eastAsia" w:ascii="宋体" w:hAnsi="宋体"/>
          <w:b/>
          <w:color w:val="auto"/>
          <w:szCs w:val="21"/>
          <w:highlight w:val="none"/>
        </w:rPr>
        <w:t xml:space="preserve"> </w:t>
      </w:r>
    </w:p>
    <w:p w14:paraId="20F6DE79">
      <w:pPr>
        <w:spacing w:line="360" w:lineRule="auto"/>
        <w:ind w:firstLine="435"/>
        <w:rPr>
          <w:rFonts w:hint="default" w:ascii="宋体" w:hAnsi="宋体" w:eastAsia="宋体" w:cs="Times New Roman"/>
          <w:bCs/>
          <w:color w:val="auto"/>
          <w:szCs w:val="20"/>
          <w:highlight w:val="none"/>
          <w:lang w:val="en-US" w:eastAsia="zh-CN"/>
        </w:rPr>
      </w:pPr>
      <w:r>
        <w:rPr>
          <w:rFonts w:hint="eastAsia" w:ascii="宋体" w:hAnsi="宋体" w:eastAsia="宋体" w:cs="Times New Roman"/>
          <w:bCs/>
          <w:color w:val="auto"/>
          <w:szCs w:val="20"/>
          <w:highlight w:val="none"/>
          <w:lang w:val="en-US" w:eastAsia="zh-CN"/>
        </w:rPr>
        <w:t>甲方（用户）指定地点。</w:t>
      </w:r>
    </w:p>
    <w:p w14:paraId="1901A6CC">
      <w:pPr>
        <w:autoSpaceDE w:val="0"/>
        <w:autoSpaceDN w:val="0"/>
        <w:adjustRightInd w:val="0"/>
        <w:spacing w:line="360" w:lineRule="auto"/>
        <w:ind w:left="-504" w:leftChars="-210" w:firstLine="482" w:firstLineChars="200"/>
        <w:jc w:val="left"/>
        <w:outlineLvl w:val="2"/>
        <w:rPr>
          <w:rFonts w:hint="eastAsia"/>
        </w:rPr>
      </w:pPr>
      <w:r>
        <w:rPr>
          <w:rFonts w:hint="eastAsia" w:ascii="宋体" w:hAnsi="宋体"/>
          <w:b/>
          <w:color w:val="auto"/>
          <w:szCs w:val="21"/>
          <w:highlight w:val="none"/>
          <w:lang w:val="en-US" w:eastAsia="zh-CN"/>
        </w:rPr>
        <w:t>七、</w:t>
      </w:r>
      <w:r>
        <w:rPr>
          <w:rFonts w:hint="eastAsia" w:ascii="宋体" w:hAnsi="宋体"/>
          <w:b/>
          <w:color w:val="auto"/>
          <w:szCs w:val="21"/>
          <w:highlight w:val="none"/>
        </w:rPr>
        <w:t>服务</w:t>
      </w:r>
      <w:r>
        <w:rPr>
          <w:rFonts w:hint="eastAsia" w:ascii="宋体" w:hAnsi="宋体"/>
          <w:b/>
          <w:color w:val="auto"/>
          <w:szCs w:val="21"/>
          <w:highlight w:val="none"/>
          <w:lang w:val="en-US" w:eastAsia="zh-CN"/>
        </w:rPr>
        <w:t>期限</w:t>
      </w:r>
      <w:r>
        <w:rPr>
          <w:rFonts w:hint="eastAsia" w:ascii="宋体" w:hAnsi="宋体"/>
          <w:b/>
          <w:color w:val="auto"/>
          <w:szCs w:val="21"/>
          <w:highlight w:val="none"/>
        </w:rPr>
        <w:t xml:space="preserve"> </w:t>
      </w:r>
    </w:p>
    <w:p w14:paraId="2A23F659">
      <w:pPr>
        <w:spacing w:line="360" w:lineRule="auto"/>
        <w:ind w:firstLine="435"/>
        <w:rPr>
          <w:rFonts w:hint="default" w:ascii="宋体" w:hAnsi="宋体" w:eastAsia="宋体"/>
          <w:color w:val="auto"/>
          <w:szCs w:val="21"/>
          <w:highlight w:val="none"/>
          <w:lang w:val="en-US" w:eastAsia="zh-CN"/>
        </w:rPr>
      </w:pPr>
      <w:r>
        <w:rPr>
          <w:rFonts w:hint="eastAsia" w:ascii="宋体" w:hAnsi="宋体"/>
          <w:color w:val="auto"/>
          <w:szCs w:val="21"/>
          <w:highlight w:val="none"/>
        </w:rPr>
        <w:t>服务期：</w:t>
      </w:r>
      <w:r>
        <w:rPr>
          <w:rFonts w:hint="eastAsia" w:ascii="宋体" w:hAnsi="宋体"/>
          <w:bCs/>
          <w:color w:val="auto"/>
          <w:szCs w:val="20"/>
          <w:highlight w:val="none"/>
        </w:rPr>
        <w:t>自</w:t>
      </w:r>
      <w:r>
        <w:rPr>
          <w:rFonts w:hint="eastAsia" w:ascii="宋体" w:hAnsi="宋体"/>
          <w:bCs/>
          <w:color w:val="auto"/>
          <w:szCs w:val="20"/>
          <w:highlight w:val="none"/>
          <w:lang w:val="en-US" w:eastAsia="zh-CN"/>
        </w:rPr>
        <w:t>合同签订生效之日起12个月。</w:t>
      </w:r>
    </w:p>
    <w:p w14:paraId="7A02C803">
      <w:pPr>
        <w:autoSpaceDE w:val="0"/>
        <w:autoSpaceDN w:val="0"/>
        <w:adjustRightInd w:val="0"/>
        <w:spacing w:line="360" w:lineRule="auto"/>
        <w:ind w:left="-504" w:leftChars="-210" w:firstLine="482" w:firstLineChars="200"/>
        <w:jc w:val="left"/>
        <w:outlineLvl w:val="2"/>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八</w:t>
      </w:r>
      <w:r>
        <w:rPr>
          <w:rFonts w:hint="eastAsia" w:ascii="宋体" w:hAnsi="宋体"/>
          <w:b/>
          <w:color w:val="auto"/>
          <w:szCs w:val="21"/>
          <w:highlight w:val="none"/>
        </w:rPr>
        <w:t>、</w:t>
      </w:r>
      <w:r>
        <w:rPr>
          <w:rFonts w:hint="eastAsia" w:ascii="宋体" w:hAnsi="宋体"/>
          <w:b/>
          <w:color w:val="auto"/>
          <w:szCs w:val="21"/>
          <w:highlight w:val="none"/>
          <w:lang w:val="en-US" w:eastAsia="zh-CN"/>
        </w:rPr>
        <w:t>双方责任</w:t>
      </w:r>
    </w:p>
    <w:p w14:paraId="10A7CCFD">
      <w:pPr>
        <w:spacing w:line="500" w:lineRule="exact"/>
        <w:rPr>
          <w:b/>
          <w:sz w:val="24"/>
          <w:highlight w:val="none"/>
        </w:rPr>
      </w:pPr>
      <w:r>
        <w:rPr>
          <w:rFonts w:hint="eastAsia"/>
          <w:b/>
          <w:sz w:val="24"/>
          <w:highlight w:val="none"/>
        </w:rPr>
        <w:t>(一)甲方责任</w:t>
      </w:r>
    </w:p>
    <w:p w14:paraId="60247A2B">
      <w:pPr>
        <w:spacing w:line="500" w:lineRule="exac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rPr>
        <w:t>、负责提供相关资料和配合的准备工作，使乙方在维护实施过程中不受外来因素的阻挠和影响;</w:t>
      </w:r>
    </w:p>
    <w:p w14:paraId="7CD53962">
      <w:pPr>
        <w:spacing w:line="500" w:lineRule="exac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rPr>
        <w:t>、负责协调相关部门对乙方的维护进行人员配合和协助工作;</w:t>
      </w:r>
    </w:p>
    <w:p w14:paraId="7FA1F880">
      <w:pPr>
        <w:spacing w:line="500" w:lineRule="exac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、按本合同约定的时间及办法对服务进行验收:</w:t>
      </w:r>
    </w:p>
    <w:p w14:paraId="021AF005">
      <w:pPr>
        <w:spacing w:line="500" w:lineRule="exac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4、按本合同约定的付款时间及金额付款给乙方。</w:t>
      </w:r>
    </w:p>
    <w:p w14:paraId="25A66376">
      <w:pPr>
        <w:spacing w:line="500" w:lineRule="exact"/>
        <w:rPr>
          <w:b/>
          <w:sz w:val="24"/>
          <w:highlight w:val="none"/>
        </w:rPr>
      </w:pPr>
      <w:r>
        <w:rPr>
          <w:rFonts w:hint="eastAsia"/>
          <w:b/>
          <w:sz w:val="24"/>
          <w:highlight w:val="none"/>
        </w:rPr>
        <w:t>(二)乙方责任</w:t>
      </w:r>
    </w:p>
    <w:p w14:paraId="71E84747">
      <w:pPr>
        <w:spacing w:line="500" w:lineRule="exac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rPr>
        <w:t>、按本合同约定的完成任务,包括但不限于</w:t>
      </w:r>
      <w:r>
        <w:rPr>
          <w:rFonts w:hint="eastAsia" w:ascii="Times New Roman" w:hAnsi="Times New Roman" w:eastAsia="宋体" w:cs="Times New Roman"/>
          <w:sz w:val="24"/>
          <w:highlight w:val="none"/>
          <w:lang w:val="en-US" w:eastAsia="zh-CN"/>
        </w:rPr>
        <w:t>磋商</w:t>
      </w:r>
      <w:r>
        <w:rPr>
          <w:rFonts w:hint="eastAsia" w:ascii="Times New Roman" w:hAnsi="Times New Roman" w:eastAsia="宋体" w:cs="Times New Roman"/>
          <w:sz w:val="24"/>
          <w:highlight w:val="none"/>
        </w:rPr>
        <w:t>文件项目需求中所描述的要求(详见</w:t>
      </w:r>
      <w:r>
        <w:rPr>
          <w:rFonts w:hint="eastAsia" w:ascii="Times New Roman" w:hAnsi="Times New Roman" w:eastAsia="宋体" w:cs="Times New Roman"/>
          <w:sz w:val="24"/>
          <w:highlight w:val="none"/>
          <w:lang w:val="en-US" w:eastAsia="zh-CN"/>
        </w:rPr>
        <w:t>磋商</w:t>
      </w:r>
      <w:r>
        <w:rPr>
          <w:rFonts w:hint="eastAsia" w:ascii="Times New Roman" w:hAnsi="Times New Roman" w:eastAsia="宋体" w:cs="Times New Roman"/>
          <w:sz w:val="24"/>
          <w:highlight w:val="none"/>
        </w:rPr>
        <w:t>文件采购项目及内容);</w:t>
      </w:r>
    </w:p>
    <w:p w14:paraId="13F6E2A0">
      <w:pPr>
        <w:spacing w:line="500" w:lineRule="exac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rPr>
        <w:t>、不得将本项目分包或转包。</w:t>
      </w:r>
    </w:p>
    <w:p w14:paraId="217D564C">
      <w:pPr>
        <w:keepNext w:val="0"/>
        <w:keepLines w:val="0"/>
        <w:pageBreakBefore w:val="0"/>
        <w:widowControl w:val="0"/>
        <w:kinsoku/>
        <w:wordWrap/>
        <w:overflowPunct/>
        <w:topLinePunct w:val="0"/>
        <w:autoSpaceDE/>
        <w:autoSpaceDN/>
        <w:bidi w:val="0"/>
        <w:adjustRightInd/>
        <w:snapToGrid/>
        <w:spacing w:after="0" w:afterLines="50" w:line="500" w:lineRule="exac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、必须严格按规定开展服务工作，不得有违法违规执业的行为。</w:t>
      </w:r>
    </w:p>
    <w:p w14:paraId="0B14184F">
      <w:pPr>
        <w:autoSpaceDE w:val="0"/>
        <w:autoSpaceDN w:val="0"/>
        <w:adjustRightInd w:val="0"/>
        <w:spacing w:line="360" w:lineRule="auto"/>
        <w:ind w:left="-504" w:leftChars="-210" w:firstLine="482" w:firstLineChars="200"/>
        <w:jc w:val="left"/>
        <w:outlineLvl w:val="2"/>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九、其它约定</w:t>
      </w:r>
    </w:p>
    <w:p w14:paraId="23DBA13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(1)乙方必须指定一名管理人员对派驻服务范围内的所有保安员进行统一管理，负责与甲方进行联系沟通，定期向</w:t>
      </w:r>
      <w:r>
        <w:rPr>
          <w:rFonts w:hint="eastAsia" w:ascii="宋体" w:hAnsi="宋体" w:eastAsia="宋体" w:cs="宋体"/>
          <w:sz w:val="24"/>
          <w:highlight w:val="none"/>
          <w:lang w:val="en-US" w:eastAsia="zh-CN"/>
        </w:rPr>
        <w:t>甲</w:t>
      </w:r>
      <w:r>
        <w:rPr>
          <w:rFonts w:hint="eastAsia" w:ascii="宋体" w:hAnsi="宋体" w:eastAsia="宋体" w:cs="宋体"/>
          <w:sz w:val="24"/>
          <w:highlight w:val="none"/>
        </w:rPr>
        <w:t>方汇报管理服务情况:发生紧急情况应该及时向甲方汇报并负责应急处理，原则上项目管理人员应固定，不得随意更换，如需更换应提前通知甲方并征得甲方同意。</w:t>
      </w:r>
    </w:p>
    <w:p w14:paraId="29770D18">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乙方负责保安员的政治思想教育和业务素质的培训，以及保安员的日常管理工作(包括巡岗、查哨、奖罚等)。如甲方发现保安员不服从管理，不听从指挥或工作不称职者，有权要求乙方更换保安员，乙方必须在接到甲方通知之日起七日内无条件予以更换。</w:t>
      </w:r>
    </w:p>
    <w:p w14:paraId="018E58E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(3)乙方不得向任何第三方转包或分包服务本合同项下的部分或全部服务项目。如有违反，甲方有权单方面解除本合同，且乙方应向甲方支付合同总</w:t>
      </w:r>
      <w:r>
        <w:rPr>
          <w:rFonts w:hint="eastAsia" w:ascii="宋体" w:hAnsi="宋体" w:eastAsia="宋体" w:cs="宋体"/>
          <w:sz w:val="24"/>
          <w:highlight w:val="none"/>
          <w:lang w:val="en-US" w:eastAsia="zh-CN"/>
        </w:rPr>
        <w:t>金</w:t>
      </w:r>
      <w:r>
        <w:rPr>
          <w:rFonts w:hint="eastAsia" w:ascii="宋体" w:hAnsi="宋体" w:eastAsia="宋体" w:cs="宋体"/>
          <w:sz w:val="24"/>
          <w:highlight w:val="none"/>
        </w:rPr>
        <w:t>额</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rPr>
        <w:t>%的违约金，甲方有有权先从服务费扣除，不足的部分可向乙方追偿。</w:t>
      </w:r>
    </w:p>
    <w:p w14:paraId="7B3C023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(4)乙方应严格遵守国家劳动用工的相关法律、法规，如有违反，甲方有权单方面解除本合同，并向乙方追偿相关经济损失。</w:t>
      </w:r>
    </w:p>
    <w:p w14:paraId="65F4AA3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(5)在工作过程中，乙方派遣的保安员因侵权、违约或其他违法犯罪行为导致经济损失及造成的人身伤亡损失，均由乙方承担一切经济、法律责任。</w:t>
      </w:r>
    </w:p>
    <w:p w14:paraId="4CF5C4C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(6)由于乙方</w:t>
      </w:r>
      <w:r>
        <w:rPr>
          <w:rFonts w:hint="eastAsia" w:ascii="Calibri" w:eastAsia="宋体"/>
          <w:lang w:val="en-US" w:eastAsia="zh-CN"/>
        </w:rPr>
        <w:t>派遣的保安员</w:t>
      </w:r>
      <w:r>
        <w:rPr>
          <w:rFonts w:hint="eastAsia"/>
        </w:rPr>
        <w:t>使用不当或疏忽造成</w:t>
      </w:r>
      <w:r>
        <w:rPr>
          <w:rFonts w:hint="eastAsia" w:ascii="Calibri" w:eastAsia="宋体"/>
          <w:lang w:val="en-US" w:eastAsia="zh-CN"/>
        </w:rPr>
        <w:t>甲方</w:t>
      </w:r>
      <w:r>
        <w:rPr>
          <w:rFonts w:hint="eastAsia"/>
        </w:rPr>
        <w:t>提供的设施、设备及公共设备设施损坏或丢失的，</w:t>
      </w:r>
      <w:r>
        <w:rPr>
          <w:rFonts w:hint="eastAsia" w:ascii="Calibri" w:eastAsia="宋体"/>
          <w:lang w:val="en-US" w:eastAsia="zh-CN"/>
        </w:rPr>
        <w:t>乙方</w:t>
      </w:r>
      <w:r>
        <w:rPr>
          <w:rFonts w:hint="eastAsia"/>
        </w:rPr>
        <w:t>应承担所有维修及赔偿责任</w:t>
      </w:r>
      <w:r>
        <w:rPr>
          <w:rFonts w:hint="eastAsia" w:ascii="宋体" w:hAnsi="宋体" w:eastAsia="宋体" w:cs="宋体"/>
          <w:sz w:val="24"/>
          <w:highlight w:val="none"/>
        </w:rPr>
        <w:t>。</w:t>
      </w:r>
    </w:p>
    <w:p w14:paraId="7B5495DA">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(7)乙方派驻应严格执行甲方单位的保密安全检查守则，严防生产技术向外泄漏，积极主动维护甲方的利益</w:t>
      </w:r>
      <w:r>
        <w:rPr>
          <w:rFonts w:hint="eastAsia" w:ascii="宋体" w:hAnsi="宋体" w:eastAsia="宋体" w:cs="宋体"/>
          <w:sz w:val="24"/>
          <w:highlight w:val="none"/>
          <w:lang w:eastAsia="zh-CN"/>
        </w:rPr>
        <w:t>；</w:t>
      </w:r>
    </w:p>
    <w:p w14:paraId="618CEF97">
      <w:pPr>
        <w:keepNext w:val="0"/>
        <w:keepLines w:val="0"/>
        <w:pageBreakBefore w:val="0"/>
        <w:widowControl w:val="0"/>
        <w:kinsoku/>
        <w:wordWrap/>
        <w:overflowPunct/>
        <w:topLinePunct w:val="0"/>
        <w:autoSpaceDE/>
        <w:autoSpaceDN/>
        <w:bidi w:val="0"/>
        <w:adjustRightInd/>
        <w:snapToGrid/>
        <w:spacing w:after="0" w:afterLines="50" w:line="500" w:lineRule="exact"/>
        <w:textAlignment w:val="auto"/>
        <w:rPr>
          <w:rFonts w:hint="eastAsia" w:ascii="Times New Roman" w:hAnsi="Times New Roman" w:eastAsia="宋体" w:cs="Times New Roman"/>
          <w:kern w:val="2"/>
          <w:sz w:val="24"/>
          <w:szCs w:val="22"/>
          <w:highlight w:val="none"/>
          <w:lang w:val="en-US" w:eastAsia="zh-CN" w:bidi="ar-SA"/>
        </w:rPr>
      </w:pPr>
      <w:r>
        <w:rPr>
          <w:rFonts w:hint="eastAsia" w:ascii="宋体" w:hAnsi="宋体" w:eastAsia="宋体" w:cs="宋体"/>
          <w:sz w:val="24"/>
          <w:highlight w:val="none"/>
          <w:lang w:val="en-US" w:eastAsia="zh-CN"/>
        </w:rPr>
        <w:t>(8)</w:t>
      </w:r>
      <w:r>
        <w:rPr>
          <w:rFonts w:hint="eastAsia" w:ascii="宋体" w:hAnsi="宋体" w:eastAsia="宋体" w:cs="宋体"/>
          <w:kern w:val="2"/>
          <w:sz w:val="24"/>
          <w:szCs w:val="22"/>
          <w:highlight w:val="none"/>
          <w:lang w:val="en-US" w:eastAsia="zh-CN" w:bidi="ar-SA"/>
        </w:rPr>
        <w:t>除磋</w:t>
      </w:r>
      <w:r>
        <w:rPr>
          <w:rFonts w:hint="eastAsia" w:ascii="Times New Roman" w:hAnsi="Times New Roman" w:eastAsia="宋体" w:cs="Times New Roman"/>
          <w:kern w:val="2"/>
          <w:sz w:val="24"/>
          <w:szCs w:val="22"/>
          <w:highlight w:val="none"/>
          <w:lang w:val="en-US" w:eastAsia="zh-CN" w:bidi="ar-SA"/>
        </w:rPr>
        <w:t>商文件明确外，乙方不得再以任何方式转包或分包本项目。</w:t>
      </w:r>
    </w:p>
    <w:p w14:paraId="702C6318">
      <w:pPr>
        <w:autoSpaceDE w:val="0"/>
        <w:autoSpaceDN w:val="0"/>
        <w:adjustRightInd w:val="0"/>
        <w:spacing w:line="360" w:lineRule="auto"/>
        <w:ind w:left="-504" w:leftChars="-210" w:firstLine="482" w:firstLineChars="200"/>
        <w:jc w:val="left"/>
        <w:outlineLvl w:val="2"/>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十、验收要求</w:t>
      </w:r>
    </w:p>
    <w:p w14:paraId="394A3708">
      <w:pPr>
        <w:widowControl w:val="0"/>
        <w:numPr>
          <w:ilvl w:val="0"/>
          <w:numId w:val="0"/>
        </w:numPr>
        <w:snapToGrid w:val="0"/>
        <w:spacing w:line="360" w:lineRule="auto"/>
        <w:ind w:firstLine="480" w:firstLineChars="20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项目验收次序对照以下执行标准：</w:t>
      </w:r>
    </w:p>
    <w:p w14:paraId="18BAF6F3">
      <w:pPr>
        <w:widowControl w:val="0"/>
        <w:numPr>
          <w:ilvl w:val="0"/>
          <w:numId w:val="0"/>
        </w:numPr>
        <w:snapToGrid w:val="0"/>
        <w:spacing w:line="360" w:lineRule="auto"/>
        <w:jc w:val="left"/>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1、符合中华人民共和国国家和履约地相关安全质量标准、行业技术规范标准、环保节能标准； </w:t>
      </w:r>
    </w:p>
    <w:p w14:paraId="282C810D">
      <w:pPr>
        <w:widowControl w:val="0"/>
        <w:numPr>
          <w:ilvl w:val="0"/>
          <w:numId w:val="0"/>
        </w:numPr>
        <w:snapToGrid w:val="0"/>
        <w:spacing w:line="360" w:lineRule="auto"/>
        <w:ind w:left="0" w:leftChars="0" w:firstLine="0" w:firstLineChars="0"/>
        <w:jc w:val="left"/>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xml:space="preserve">2、符合磋商文件和响应承诺中各方共同认可的各项要求； </w:t>
      </w:r>
    </w:p>
    <w:p w14:paraId="35683BC1">
      <w:pPr>
        <w:keepNext w:val="0"/>
        <w:keepLines w:val="0"/>
        <w:pageBreakBefore w:val="0"/>
        <w:widowControl w:val="0"/>
        <w:kinsoku/>
        <w:wordWrap/>
        <w:overflowPunct/>
        <w:topLinePunct w:val="0"/>
        <w:autoSpaceDE/>
        <w:autoSpaceDN/>
        <w:bidi w:val="0"/>
        <w:adjustRightInd/>
        <w:snapToGrid w:val="0"/>
        <w:spacing w:after="0" w:afterLines="50"/>
        <w:jc w:val="left"/>
        <w:textAlignment w:val="auto"/>
        <w:rPr>
          <w:rFonts w:hint="default" w:ascii="宋体" w:hAnsi="宋体" w:eastAsia="宋体" w:cs="Times New Roman"/>
          <w:kern w:val="0"/>
          <w:sz w:val="28"/>
          <w:szCs w:val="22"/>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eastAsia" w:ascii="Times New Roman" w:hAnsi="Times New Roman" w:eastAsia="宋体" w:cs="Times New Roman"/>
          <w:kern w:val="2"/>
          <w:sz w:val="24"/>
          <w:szCs w:val="22"/>
          <w:lang w:val="en-US" w:eastAsia="zh-CN" w:bidi="ar-SA"/>
        </w:rPr>
        <w:t>上述各类标准与法规必须是有关官方机构最新发布的现行标准版本。</w:t>
      </w:r>
    </w:p>
    <w:p w14:paraId="5E426FA0">
      <w:pPr>
        <w:numPr>
          <w:ilvl w:val="0"/>
          <w:numId w:val="0"/>
        </w:numPr>
        <w:autoSpaceDE w:val="0"/>
        <w:autoSpaceDN w:val="0"/>
        <w:adjustRightInd w:val="0"/>
        <w:spacing w:line="360" w:lineRule="auto"/>
        <w:ind w:leftChars="-10"/>
        <w:jc w:val="left"/>
        <w:outlineLvl w:val="2"/>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十一、考核办法</w:t>
      </w:r>
    </w:p>
    <w:p w14:paraId="70184A99">
      <w:pPr>
        <w:numPr>
          <w:ilvl w:val="0"/>
          <w:numId w:val="0"/>
        </w:numPr>
        <w:tabs>
          <w:tab w:val="left" w:pos="0"/>
        </w:tabs>
        <w:spacing w:line="360" w:lineRule="auto"/>
        <w:ind w:leftChars="0" w:firstLine="480" w:firstLineChars="200"/>
        <w:jc w:val="left"/>
        <w:rPr>
          <w:rFonts w:hint="eastAsia"/>
          <w:bCs/>
          <w:color w:val="auto"/>
          <w:sz w:val="24"/>
          <w:szCs w:val="24"/>
          <w:highlight w:val="none"/>
          <w:lang w:val="en-GB"/>
        </w:rPr>
      </w:pPr>
      <w:r>
        <w:rPr>
          <w:rFonts w:hint="eastAsia" w:ascii="Calibri" w:eastAsia="宋体"/>
          <w:bCs/>
          <w:color w:val="auto"/>
          <w:sz w:val="24"/>
          <w:szCs w:val="24"/>
          <w:highlight w:val="none"/>
          <w:lang w:val="en-US" w:eastAsia="zh-CN"/>
        </w:rPr>
        <w:t>服务</w:t>
      </w:r>
      <w:r>
        <w:rPr>
          <w:rFonts w:hint="eastAsia" w:ascii="Calibri"/>
          <w:bCs/>
          <w:color w:val="auto"/>
          <w:sz w:val="24"/>
          <w:szCs w:val="24"/>
          <w:highlight w:val="none"/>
          <w:lang w:val="en-GB"/>
        </w:rPr>
        <w:t>期内，由</w:t>
      </w:r>
      <w:r>
        <w:rPr>
          <w:rFonts w:hint="eastAsia" w:ascii="Calibri" w:eastAsia="宋体"/>
          <w:bCs/>
          <w:color w:val="auto"/>
          <w:sz w:val="24"/>
          <w:szCs w:val="24"/>
          <w:highlight w:val="none"/>
          <w:lang w:val="en-US" w:eastAsia="zh-CN"/>
        </w:rPr>
        <w:t>甲方</w:t>
      </w:r>
      <w:r>
        <w:rPr>
          <w:rFonts w:hint="eastAsia" w:ascii="Calibri"/>
          <w:bCs/>
          <w:color w:val="auto"/>
          <w:sz w:val="24"/>
          <w:szCs w:val="24"/>
          <w:highlight w:val="none"/>
          <w:lang w:val="en-GB"/>
        </w:rPr>
        <w:t>每月不定期对</w:t>
      </w:r>
      <w:r>
        <w:rPr>
          <w:rFonts w:hint="eastAsia" w:eastAsia="宋体"/>
          <w:bCs/>
          <w:color w:val="auto"/>
          <w:sz w:val="24"/>
          <w:szCs w:val="24"/>
          <w:highlight w:val="none"/>
          <w:lang w:val="en-GB" w:eastAsia="zh-CN"/>
        </w:rPr>
        <w:t>乙方</w:t>
      </w:r>
      <w:r>
        <w:rPr>
          <w:rFonts w:hint="eastAsia" w:ascii="Calibri"/>
          <w:bCs/>
          <w:color w:val="auto"/>
          <w:sz w:val="24"/>
          <w:szCs w:val="24"/>
          <w:highlight w:val="none"/>
          <w:lang w:val="en-GB"/>
        </w:rPr>
        <w:t>的服务质量按《</w:t>
      </w:r>
      <w:r>
        <w:rPr>
          <w:rFonts w:hint="eastAsia" w:ascii="Calibri" w:eastAsia="宋体"/>
          <w:bCs/>
          <w:color w:val="auto"/>
          <w:sz w:val="24"/>
          <w:szCs w:val="24"/>
          <w:highlight w:val="none"/>
          <w:lang w:val="en-US" w:eastAsia="zh-CN"/>
        </w:rPr>
        <w:t>考核细则</w:t>
      </w:r>
      <w:r>
        <w:rPr>
          <w:rFonts w:hint="eastAsia" w:ascii="Calibri"/>
          <w:bCs/>
          <w:color w:val="auto"/>
          <w:sz w:val="24"/>
          <w:szCs w:val="24"/>
          <w:highlight w:val="none"/>
          <w:lang w:val="en-GB"/>
        </w:rPr>
        <w:t>》</w:t>
      </w: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见附件一</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中的</w:t>
      </w:r>
      <w:r>
        <w:rPr>
          <w:rFonts w:hint="eastAsia" w:ascii="Calibri" w:eastAsia="宋体"/>
          <w:bCs/>
          <w:color w:val="auto"/>
          <w:sz w:val="24"/>
          <w:szCs w:val="24"/>
          <w:highlight w:val="none"/>
          <w:lang w:val="en-US" w:eastAsia="zh-CN"/>
        </w:rPr>
        <w:t>考核标准</w:t>
      </w:r>
      <w:r>
        <w:rPr>
          <w:rFonts w:hint="eastAsia" w:ascii="Calibri"/>
          <w:bCs/>
          <w:color w:val="auto"/>
          <w:sz w:val="24"/>
          <w:szCs w:val="24"/>
          <w:highlight w:val="none"/>
          <w:lang w:val="en-GB"/>
        </w:rPr>
        <w:t>进行</w:t>
      </w:r>
      <w:r>
        <w:rPr>
          <w:rFonts w:hint="eastAsia" w:ascii="Calibri" w:eastAsia="宋体"/>
          <w:bCs/>
          <w:color w:val="auto"/>
          <w:sz w:val="24"/>
          <w:szCs w:val="24"/>
          <w:highlight w:val="none"/>
          <w:lang w:val="en-GB" w:eastAsia="zh-CN"/>
        </w:rPr>
        <w:t>考核（</w:t>
      </w:r>
      <w:r>
        <w:rPr>
          <w:rFonts w:hint="eastAsia" w:ascii="Calibri"/>
          <w:bCs/>
          <w:color w:val="auto"/>
          <w:sz w:val="24"/>
          <w:szCs w:val="24"/>
          <w:highlight w:val="none"/>
          <w:lang w:val="en-GB"/>
        </w:rPr>
        <w:t>项目实施过程中，</w:t>
      </w:r>
      <w:r>
        <w:rPr>
          <w:rFonts w:hint="eastAsia" w:ascii="Calibri" w:eastAsia="宋体"/>
          <w:bCs/>
          <w:color w:val="auto"/>
          <w:sz w:val="24"/>
          <w:szCs w:val="24"/>
          <w:highlight w:val="none"/>
          <w:lang w:val="en-GB" w:eastAsia="zh-CN"/>
        </w:rPr>
        <w:t>甲方</w:t>
      </w:r>
      <w:r>
        <w:rPr>
          <w:rFonts w:hint="eastAsia" w:ascii="Calibri"/>
          <w:bCs/>
          <w:color w:val="auto"/>
          <w:sz w:val="24"/>
          <w:szCs w:val="24"/>
          <w:highlight w:val="none"/>
          <w:lang w:val="en-GB"/>
        </w:rPr>
        <w:t>可根据实际情况对</w:t>
      </w: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考核细则</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进行合理的修改或补充，</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须无条件接受</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w:t>
      </w:r>
      <w:r>
        <w:rPr>
          <w:rFonts w:hint="eastAsia" w:ascii="Calibri" w:eastAsia="宋体"/>
          <w:bCs/>
          <w:color w:val="auto"/>
          <w:sz w:val="24"/>
          <w:szCs w:val="24"/>
          <w:highlight w:val="none"/>
          <w:lang w:val="en-GB" w:eastAsia="zh-CN"/>
        </w:rPr>
        <w:t>考核</w:t>
      </w:r>
      <w:r>
        <w:rPr>
          <w:rFonts w:hint="eastAsia" w:ascii="Calibri"/>
          <w:bCs/>
          <w:color w:val="auto"/>
          <w:sz w:val="24"/>
          <w:szCs w:val="24"/>
          <w:highlight w:val="none"/>
          <w:lang w:val="en-GB"/>
        </w:rPr>
        <w:t>结果与服务费挂钩</w:t>
      </w:r>
      <w:r>
        <w:rPr>
          <w:rFonts w:hint="eastAsia" w:ascii="Calibri" w:eastAsia="宋体"/>
          <w:bCs/>
          <w:color w:val="auto"/>
          <w:sz w:val="24"/>
          <w:szCs w:val="24"/>
          <w:highlight w:val="none"/>
          <w:lang w:val="en-GB" w:eastAsia="zh-CN"/>
        </w:rPr>
        <w:t>。</w:t>
      </w:r>
      <w:r>
        <w:rPr>
          <w:rFonts w:hint="eastAsia" w:ascii="Calibri"/>
          <w:bCs/>
          <w:color w:val="auto"/>
          <w:sz w:val="24"/>
          <w:szCs w:val="24"/>
          <w:highlight w:val="none"/>
          <w:lang w:val="en-GB"/>
        </w:rPr>
        <w:t>对</w:t>
      </w:r>
      <w:r>
        <w:rPr>
          <w:rFonts w:hint="eastAsia" w:ascii="Calibri" w:eastAsia="宋体"/>
          <w:bCs/>
          <w:color w:val="auto"/>
          <w:sz w:val="24"/>
          <w:szCs w:val="24"/>
          <w:highlight w:val="none"/>
          <w:lang w:val="en-US" w:eastAsia="zh-CN"/>
        </w:rPr>
        <w:t>考核中存在扣分项的，甲方将</w:t>
      </w:r>
      <w:r>
        <w:rPr>
          <w:rFonts w:hint="eastAsia" w:ascii="Calibri"/>
          <w:bCs/>
          <w:color w:val="auto"/>
          <w:sz w:val="24"/>
          <w:szCs w:val="24"/>
          <w:highlight w:val="none"/>
          <w:lang w:val="en-GB"/>
        </w:rPr>
        <w:t>提出书面</w:t>
      </w:r>
      <w:r>
        <w:rPr>
          <w:rFonts w:hint="eastAsia" w:ascii="Calibri" w:eastAsia="宋体"/>
          <w:bCs/>
          <w:color w:val="auto"/>
          <w:sz w:val="24"/>
          <w:szCs w:val="24"/>
          <w:highlight w:val="none"/>
          <w:lang w:val="en-US" w:eastAsia="zh-CN"/>
        </w:rPr>
        <w:t>整改通知</w:t>
      </w:r>
      <w:r>
        <w:rPr>
          <w:rFonts w:hint="eastAsia" w:ascii="Calibri"/>
          <w:bCs/>
          <w:color w:val="auto"/>
          <w:sz w:val="24"/>
          <w:szCs w:val="24"/>
          <w:highlight w:val="none"/>
          <w:lang w:val="en-GB"/>
        </w:rPr>
        <w:t>。</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须在收到书面整改通知之日起15个工作日内按照要求完成整改并报</w:t>
      </w:r>
      <w:r>
        <w:rPr>
          <w:rFonts w:hint="eastAsia" w:ascii="Calibri" w:eastAsia="宋体"/>
          <w:bCs/>
          <w:color w:val="auto"/>
          <w:sz w:val="24"/>
          <w:szCs w:val="24"/>
          <w:highlight w:val="none"/>
          <w:lang w:val="en-GB" w:eastAsia="zh-CN"/>
        </w:rPr>
        <w:t>甲方</w:t>
      </w:r>
      <w:r>
        <w:rPr>
          <w:rFonts w:hint="eastAsia" w:ascii="Calibri"/>
          <w:bCs/>
          <w:color w:val="auto"/>
          <w:sz w:val="24"/>
          <w:szCs w:val="24"/>
          <w:highlight w:val="none"/>
          <w:lang w:val="en-GB"/>
        </w:rPr>
        <w:t>复查确认。逾期未</w:t>
      </w:r>
      <w:r>
        <w:rPr>
          <w:rFonts w:hint="eastAsia" w:ascii="Calibri" w:eastAsia="宋体"/>
          <w:bCs/>
          <w:color w:val="auto"/>
          <w:sz w:val="24"/>
          <w:szCs w:val="24"/>
          <w:highlight w:val="none"/>
          <w:lang w:val="en-US" w:eastAsia="zh-CN"/>
        </w:rPr>
        <w:t>按</w:t>
      </w:r>
      <w:r>
        <w:rPr>
          <w:rFonts w:hint="eastAsia" w:ascii="Calibri"/>
          <w:bCs/>
          <w:color w:val="auto"/>
          <w:sz w:val="24"/>
          <w:szCs w:val="24"/>
          <w:highlight w:val="none"/>
          <w:lang w:val="en-GB"/>
        </w:rPr>
        <w:t>要求完成整改工作的，属于</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违约，</w:t>
      </w:r>
      <w:r>
        <w:rPr>
          <w:rFonts w:hint="eastAsia" w:ascii="Calibri" w:eastAsia="宋体"/>
          <w:bCs/>
          <w:color w:val="auto"/>
          <w:sz w:val="24"/>
          <w:szCs w:val="24"/>
          <w:highlight w:val="none"/>
          <w:lang w:val="en-US" w:eastAsia="zh-CN"/>
        </w:rPr>
        <w:t>甲方</w:t>
      </w:r>
      <w:r>
        <w:rPr>
          <w:rFonts w:hint="eastAsia" w:ascii="Calibri"/>
          <w:bCs/>
          <w:color w:val="auto"/>
          <w:sz w:val="24"/>
          <w:szCs w:val="24"/>
          <w:highlight w:val="none"/>
          <w:lang w:val="en-GB"/>
        </w:rPr>
        <w:t>有权终止合同。</w:t>
      </w:r>
    </w:p>
    <w:p w14:paraId="7B8D32B7">
      <w:pPr>
        <w:numPr>
          <w:ilvl w:val="0"/>
          <w:numId w:val="0"/>
        </w:numPr>
        <w:tabs>
          <w:tab w:val="left" w:pos="0"/>
        </w:tabs>
        <w:spacing w:line="360" w:lineRule="auto"/>
        <w:ind w:leftChars="0" w:firstLine="480" w:firstLineChars="200"/>
        <w:jc w:val="left"/>
        <w:rPr>
          <w:rFonts w:hint="eastAsia"/>
          <w:bCs/>
          <w:color w:val="auto"/>
          <w:sz w:val="24"/>
          <w:szCs w:val="24"/>
          <w:highlight w:val="none"/>
          <w:lang w:val="en-GB"/>
        </w:rPr>
      </w:pPr>
      <w:r>
        <w:rPr>
          <w:rFonts w:hint="eastAsia" w:ascii="Calibri"/>
          <w:bCs/>
          <w:color w:val="auto"/>
          <w:sz w:val="24"/>
          <w:szCs w:val="24"/>
          <w:highlight w:val="none"/>
          <w:lang w:val="en-GB"/>
        </w:rPr>
        <w:t>具体</w:t>
      </w:r>
      <w:r>
        <w:rPr>
          <w:rFonts w:hint="eastAsia" w:eastAsia="宋体"/>
          <w:bCs/>
          <w:color w:val="auto"/>
          <w:sz w:val="24"/>
          <w:szCs w:val="24"/>
          <w:highlight w:val="none"/>
          <w:lang w:val="en-GB" w:eastAsia="zh-CN"/>
        </w:rPr>
        <w:t>考核</w:t>
      </w:r>
      <w:r>
        <w:rPr>
          <w:rFonts w:hint="eastAsia" w:ascii="Calibri"/>
          <w:bCs/>
          <w:color w:val="auto"/>
          <w:sz w:val="24"/>
          <w:szCs w:val="24"/>
          <w:highlight w:val="none"/>
          <w:lang w:val="en-GB"/>
        </w:rPr>
        <w:t>如下：</w:t>
      </w:r>
    </w:p>
    <w:p w14:paraId="4A2E4C94">
      <w:pPr>
        <w:numPr>
          <w:ilvl w:val="0"/>
          <w:numId w:val="0"/>
        </w:numPr>
        <w:tabs>
          <w:tab w:val="left" w:pos="0"/>
        </w:tabs>
        <w:spacing w:line="360" w:lineRule="auto"/>
        <w:ind w:leftChars="0"/>
        <w:jc w:val="left"/>
        <w:rPr>
          <w:rFonts w:hint="eastAsia"/>
          <w:bCs/>
          <w:color w:val="auto"/>
          <w:sz w:val="24"/>
          <w:szCs w:val="24"/>
          <w:highlight w:val="none"/>
          <w:lang w:val="en-GB"/>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1</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当月考核得分≥90分时，当月不扣除服务费；</w:t>
      </w:r>
    </w:p>
    <w:p w14:paraId="3049B509">
      <w:pPr>
        <w:numPr>
          <w:ilvl w:val="0"/>
          <w:numId w:val="0"/>
        </w:numPr>
        <w:tabs>
          <w:tab w:val="left" w:pos="0"/>
        </w:tabs>
        <w:spacing w:line="360" w:lineRule="auto"/>
        <w:ind w:leftChars="0"/>
        <w:jc w:val="left"/>
        <w:rPr>
          <w:rFonts w:hint="eastAsia"/>
          <w:bCs/>
          <w:color w:val="auto"/>
          <w:sz w:val="24"/>
          <w:szCs w:val="24"/>
          <w:highlight w:val="none"/>
          <w:lang w:val="en-GB"/>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2</w:t>
      </w: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7</w:t>
      </w:r>
      <w:r>
        <w:rPr>
          <w:rFonts w:hint="eastAsia" w:ascii="Calibri"/>
          <w:bCs/>
          <w:color w:val="auto"/>
          <w:sz w:val="24"/>
          <w:szCs w:val="24"/>
          <w:highlight w:val="none"/>
          <w:lang w:val="en-GB"/>
        </w:rPr>
        <w:t>0≤</w:t>
      </w:r>
      <w:r>
        <w:rPr>
          <w:rFonts w:hint="eastAsia" w:eastAsia="宋体"/>
          <w:bCs/>
          <w:color w:val="auto"/>
          <w:sz w:val="24"/>
          <w:szCs w:val="24"/>
          <w:highlight w:val="none"/>
          <w:lang w:val="en-GB" w:eastAsia="zh-CN"/>
        </w:rPr>
        <w:t>乙方</w:t>
      </w:r>
      <w:r>
        <w:rPr>
          <w:rFonts w:hint="eastAsia" w:ascii="Calibri"/>
          <w:bCs/>
          <w:color w:val="auto"/>
          <w:sz w:val="24"/>
          <w:szCs w:val="24"/>
          <w:highlight w:val="none"/>
          <w:lang w:val="en-GB"/>
        </w:rPr>
        <w:t>当月考核得分＜90分时，按每扣一分扣减该月服务费1000元的标准执行；</w:t>
      </w:r>
    </w:p>
    <w:p w14:paraId="4C161D2B">
      <w:pPr>
        <w:numPr>
          <w:ilvl w:val="0"/>
          <w:numId w:val="0"/>
        </w:numPr>
        <w:tabs>
          <w:tab w:val="left" w:pos="0"/>
        </w:tabs>
        <w:spacing w:line="360" w:lineRule="auto"/>
        <w:ind w:leftChars="0"/>
        <w:jc w:val="left"/>
        <w:rPr>
          <w:rFonts w:hint="eastAsia"/>
          <w:bCs/>
          <w:color w:val="auto"/>
          <w:sz w:val="24"/>
          <w:szCs w:val="24"/>
          <w:highlight w:val="none"/>
          <w:lang w:val="en-GB" w:eastAsia="zh-CN"/>
        </w:rPr>
      </w:pPr>
      <w:r>
        <w:rPr>
          <w:rFonts w:hint="eastAsia" w:ascii="Calibri" w:eastAsia="宋体"/>
          <w:bCs/>
          <w:color w:val="auto"/>
          <w:sz w:val="24"/>
          <w:szCs w:val="24"/>
          <w:highlight w:val="none"/>
          <w:lang w:val="en-GB" w:eastAsia="zh-CN"/>
        </w:rPr>
        <w:t>（</w:t>
      </w:r>
      <w:r>
        <w:rPr>
          <w:rFonts w:hint="eastAsia" w:ascii="Calibri" w:eastAsia="宋体"/>
          <w:bCs/>
          <w:color w:val="auto"/>
          <w:sz w:val="24"/>
          <w:szCs w:val="24"/>
          <w:highlight w:val="none"/>
          <w:lang w:val="en-US" w:eastAsia="zh-CN"/>
        </w:rPr>
        <w:t>3</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当月考核得分得分＜7</w:t>
      </w:r>
      <w:r>
        <w:rPr>
          <w:rFonts w:hint="eastAsia" w:ascii="Calibri" w:eastAsia="宋体"/>
          <w:bCs/>
          <w:color w:val="auto"/>
          <w:sz w:val="24"/>
          <w:szCs w:val="24"/>
          <w:highlight w:val="none"/>
          <w:lang w:val="en-US" w:eastAsia="zh-CN"/>
        </w:rPr>
        <w:t>0</w:t>
      </w:r>
      <w:r>
        <w:rPr>
          <w:rFonts w:hint="eastAsia" w:ascii="Calibri"/>
          <w:bCs/>
          <w:color w:val="auto"/>
          <w:sz w:val="24"/>
          <w:szCs w:val="24"/>
          <w:highlight w:val="none"/>
          <w:lang w:val="en-GB"/>
        </w:rPr>
        <w:t>分时，按每扣一分扣减该月服务费1000元的标准执行</w:t>
      </w:r>
      <w:r>
        <w:rPr>
          <w:rFonts w:hint="eastAsia" w:ascii="Calibri" w:eastAsia="宋体"/>
          <w:bCs/>
          <w:color w:val="auto"/>
          <w:sz w:val="24"/>
          <w:szCs w:val="24"/>
          <w:highlight w:val="none"/>
          <w:lang w:val="en-GB" w:eastAsia="zh-CN"/>
        </w:rPr>
        <w:t>；</w:t>
      </w:r>
    </w:p>
    <w:p w14:paraId="5C60FF53">
      <w:pPr>
        <w:numPr>
          <w:ilvl w:val="0"/>
          <w:numId w:val="0"/>
        </w:numPr>
        <w:tabs>
          <w:tab w:val="left" w:pos="0"/>
        </w:tabs>
        <w:spacing w:line="360" w:lineRule="auto"/>
        <w:ind w:leftChars="0"/>
        <w:jc w:val="left"/>
        <w:rPr>
          <w:rFonts w:hint="eastAsia" w:eastAsia="宋体"/>
          <w:bCs/>
          <w:color w:val="auto"/>
          <w:sz w:val="24"/>
          <w:szCs w:val="24"/>
          <w:highlight w:val="none"/>
          <w:lang w:val="en-GB" w:eastAsia="zh-CN"/>
        </w:rPr>
      </w:pPr>
      <w:r>
        <w:rPr>
          <w:rFonts w:hint="eastAsia" w:eastAsia="宋体"/>
          <w:bCs/>
          <w:color w:val="auto"/>
          <w:sz w:val="24"/>
          <w:szCs w:val="24"/>
          <w:highlight w:val="none"/>
          <w:lang w:val="en-GB" w:eastAsia="zh-CN"/>
        </w:rPr>
        <w:t>（</w:t>
      </w:r>
      <w:r>
        <w:rPr>
          <w:rFonts w:hint="eastAsia" w:eastAsia="宋体"/>
          <w:bCs/>
          <w:color w:val="auto"/>
          <w:sz w:val="24"/>
          <w:szCs w:val="24"/>
          <w:highlight w:val="none"/>
          <w:lang w:val="en-US" w:eastAsia="zh-CN"/>
        </w:rPr>
        <w:t>4</w:t>
      </w:r>
      <w:r>
        <w:rPr>
          <w:rFonts w:hint="eastAsia" w:eastAsia="宋体"/>
          <w:bCs/>
          <w:color w:val="auto"/>
          <w:sz w:val="24"/>
          <w:szCs w:val="24"/>
          <w:highlight w:val="none"/>
          <w:lang w:val="en-GB" w:eastAsia="zh-CN"/>
        </w:rPr>
        <w:t>）</w:t>
      </w:r>
      <w:r>
        <w:rPr>
          <w:rFonts w:hint="eastAsia" w:ascii="Calibri"/>
          <w:bCs/>
          <w:color w:val="auto"/>
          <w:sz w:val="24"/>
          <w:szCs w:val="24"/>
          <w:highlight w:val="none"/>
          <w:lang w:val="en-GB"/>
        </w:rPr>
        <w:t>若</w:t>
      </w:r>
      <w:r>
        <w:rPr>
          <w:rFonts w:hint="eastAsia" w:ascii="Calibri" w:eastAsia="宋体"/>
          <w:bCs/>
          <w:color w:val="auto"/>
          <w:sz w:val="24"/>
          <w:szCs w:val="24"/>
          <w:highlight w:val="none"/>
          <w:lang w:val="en-GB" w:eastAsia="zh-CN"/>
        </w:rPr>
        <w:t>乙方</w:t>
      </w:r>
      <w:r>
        <w:rPr>
          <w:rFonts w:hint="eastAsia" w:ascii="Calibri"/>
          <w:bCs/>
          <w:color w:val="auto"/>
          <w:sz w:val="24"/>
          <w:szCs w:val="24"/>
          <w:highlight w:val="none"/>
          <w:lang w:val="en-GB"/>
        </w:rPr>
        <w:t>次月考核得分仍＜70分时，</w:t>
      </w:r>
      <w:r>
        <w:rPr>
          <w:rFonts w:hint="eastAsia" w:ascii="Calibri" w:eastAsia="宋体"/>
          <w:bCs/>
          <w:color w:val="auto"/>
          <w:sz w:val="24"/>
          <w:szCs w:val="24"/>
          <w:highlight w:val="none"/>
          <w:lang w:val="en-GB" w:eastAsia="zh-CN"/>
        </w:rPr>
        <w:t>则</w:t>
      </w:r>
      <w:r>
        <w:rPr>
          <w:rFonts w:hint="eastAsia" w:ascii="Calibri"/>
          <w:bCs/>
          <w:color w:val="auto"/>
          <w:sz w:val="24"/>
          <w:szCs w:val="24"/>
          <w:highlight w:val="none"/>
          <w:lang w:val="en-GB"/>
        </w:rPr>
        <w:t>按每扣一分扣减该月服务费</w:t>
      </w:r>
      <w:r>
        <w:rPr>
          <w:rFonts w:hint="eastAsia" w:ascii="Calibri" w:eastAsia="宋体"/>
          <w:bCs/>
          <w:color w:val="auto"/>
          <w:sz w:val="24"/>
          <w:szCs w:val="24"/>
          <w:highlight w:val="none"/>
          <w:lang w:val="en-US" w:eastAsia="zh-CN"/>
        </w:rPr>
        <w:t>2</w:t>
      </w:r>
      <w:r>
        <w:rPr>
          <w:rFonts w:hint="eastAsia" w:ascii="Calibri"/>
          <w:bCs/>
          <w:color w:val="auto"/>
          <w:sz w:val="24"/>
          <w:szCs w:val="24"/>
          <w:highlight w:val="none"/>
          <w:lang w:val="en-GB"/>
        </w:rPr>
        <w:t>000元的标准执行</w:t>
      </w:r>
      <w:r>
        <w:rPr>
          <w:rFonts w:hint="eastAsia" w:eastAsia="宋体"/>
          <w:bCs/>
          <w:color w:val="auto"/>
          <w:sz w:val="24"/>
          <w:szCs w:val="24"/>
          <w:highlight w:val="none"/>
          <w:lang w:val="en-GB" w:eastAsia="zh-CN"/>
        </w:rPr>
        <w:t>；</w:t>
      </w:r>
    </w:p>
    <w:p w14:paraId="05D37C3F">
      <w:pPr>
        <w:numPr>
          <w:ilvl w:val="0"/>
          <w:numId w:val="0"/>
        </w:numPr>
        <w:tabs>
          <w:tab w:val="left" w:pos="0"/>
        </w:tabs>
        <w:spacing w:line="360" w:lineRule="auto"/>
        <w:ind w:leftChars="0"/>
        <w:jc w:val="left"/>
        <w:rPr>
          <w:rFonts w:hint="default" w:ascii="Times New Roman" w:hAnsi="Times New Roman" w:eastAsia="宋体" w:cs="Times New Roman"/>
          <w:b/>
          <w:bCs w:val="0"/>
          <w:color w:val="auto"/>
          <w:sz w:val="24"/>
          <w:szCs w:val="24"/>
          <w:highlight w:val="none"/>
          <w:lang w:val="en-US" w:eastAsia="zh-CN"/>
        </w:rPr>
      </w:pPr>
      <w:r>
        <w:rPr>
          <w:rFonts w:hint="eastAsia" w:eastAsia="宋体"/>
          <w:bCs/>
          <w:color w:val="auto"/>
          <w:sz w:val="24"/>
          <w:szCs w:val="24"/>
          <w:highlight w:val="none"/>
          <w:lang w:val="en-GB" w:eastAsia="zh-CN"/>
        </w:rPr>
        <w:t>（</w:t>
      </w:r>
      <w:r>
        <w:rPr>
          <w:rFonts w:hint="eastAsia" w:eastAsia="宋体"/>
          <w:bCs/>
          <w:color w:val="auto"/>
          <w:sz w:val="24"/>
          <w:szCs w:val="24"/>
          <w:highlight w:val="none"/>
          <w:lang w:val="en-US" w:eastAsia="zh-CN"/>
        </w:rPr>
        <w:t>5</w:t>
      </w:r>
      <w:r>
        <w:rPr>
          <w:rFonts w:hint="eastAsia" w:eastAsia="宋体"/>
          <w:bCs/>
          <w:color w:val="auto"/>
          <w:sz w:val="24"/>
          <w:szCs w:val="24"/>
          <w:highlight w:val="none"/>
          <w:lang w:val="en-GB" w:eastAsia="zh-CN"/>
        </w:rPr>
        <w:t>）</w:t>
      </w:r>
      <w:r>
        <w:rPr>
          <w:rFonts w:hint="eastAsia" w:ascii="Calibri"/>
          <w:bCs/>
          <w:color w:val="auto"/>
          <w:sz w:val="24"/>
          <w:szCs w:val="24"/>
          <w:highlight w:val="none"/>
          <w:lang w:val="en-GB"/>
        </w:rPr>
        <w:t>若</w:t>
      </w:r>
      <w:r>
        <w:rPr>
          <w:rFonts w:hint="eastAsia" w:ascii="Calibri" w:eastAsia="宋体"/>
          <w:bCs/>
          <w:color w:val="auto"/>
          <w:sz w:val="24"/>
          <w:szCs w:val="24"/>
          <w:highlight w:val="none"/>
          <w:lang w:val="en-US" w:eastAsia="zh-CN"/>
        </w:rPr>
        <w:t>乙方</w:t>
      </w:r>
      <w:r>
        <w:rPr>
          <w:rFonts w:hint="eastAsia" w:ascii="Calibri"/>
          <w:bCs/>
          <w:color w:val="auto"/>
          <w:sz w:val="24"/>
          <w:szCs w:val="24"/>
          <w:highlight w:val="none"/>
          <w:lang w:val="en-GB"/>
        </w:rPr>
        <w:t>服务期连续 3个月考核得分＜70分时</w:t>
      </w:r>
      <w:r>
        <w:rPr>
          <w:rFonts w:hint="eastAsia" w:eastAsia="宋体"/>
          <w:bCs/>
          <w:color w:val="auto"/>
          <w:sz w:val="24"/>
          <w:szCs w:val="24"/>
          <w:highlight w:val="none"/>
          <w:lang w:val="en-GB" w:eastAsia="zh-CN"/>
        </w:rPr>
        <w:t>，属于</w:t>
      </w:r>
      <w:r>
        <w:rPr>
          <w:rFonts w:hint="eastAsia" w:ascii="Calibri" w:eastAsia="宋体"/>
          <w:bCs/>
          <w:color w:val="auto"/>
          <w:sz w:val="24"/>
          <w:szCs w:val="24"/>
          <w:highlight w:val="none"/>
          <w:lang w:val="en-US" w:eastAsia="zh-CN"/>
        </w:rPr>
        <w:t>乙方</w:t>
      </w:r>
      <w:r>
        <w:rPr>
          <w:rFonts w:hint="eastAsia" w:ascii="Calibri"/>
          <w:bCs/>
          <w:color w:val="auto"/>
          <w:sz w:val="24"/>
          <w:szCs w:val="24"/>
          <w:highlight w:val="none"/>
          <w:lang w:val="en-GB"/>
        </w:rPr>
        <w:t>违约，</w:t>
      </w:r>
      <w:r>
        <w:rPr>
          <w:rFonts w:hint="eastAsia" w:ascii="Calibri" w:eastAsia="宋体"/>
          <w:bCs/>
          <w:color w:val="auto"/>
          <w:sz w:val="24"/>
          <w:szCs w:val="24"/>
          <w:highlight w:val="none"/>
          <w:lang w:val="en-US" w:eastAsia="zh-CN"/>
        </w:rPr>
        <w:t>甲方</w:t>
      </w:r>
      <w:r>
        <w:rPr>
          <w:rFonts w:hint="eastAsia" w:ascii="Calibri"/>
          <w:bCs/>
          <w:color w:val="auto"/>
          <w:sz w:val="24"/>
          <w:szCs w:val="24"/>
          <w:highlight w:val="none"/>
          <w:lang w:val="en-GB"/>
        </w:rPr>
        <w:t>有权终止合同。</w:t>
      </w:r>
    </w:p>
    <w:p w14:paraId="286BF220">
      <w:pPr>
        <w:widowControl w:val="0"/>
        <w:spacing w:before="25" w:after="25" w:line="360" w:lineRule="auto"/>
        <w:jc w:val="left"/>
        <w:rPr>
          <w:rFonts w:hint="eastAsia" w:ascii="宋体" w:hAnsi="宋体" w:eastAsia="宋体" w:cs="宋体"/>
          <w:b/>
          <w:bCs w:val="0"/>
          <w:color w:val="auto"/>
          <w:spacing w:val="10"/>
          <w:kern w:val="0"/>
          <w:sz w:val="24"/>
          <w:szCs w:val="20"/>
          <w:highlight w:val="none"/>
          <w:lang w:val="en-US" w:eastAsia="zh-CN" w:bidi="ar-SA"/>
        </w:rPr>
      </w:pPr>
      <w:r>
        <w:rPr>
          <w:rFonts w:hint="eastAsia" w:ascii="宋体" w:hAnsi="宋体" w:eastAsia="宋体" w:cs="宋体"/>
          <w:b/>
          <w:bCs w:val="0"/>
          <w:color w:val="auto"/>
          <w:spacing w:val="10"/>
          <w:kern w:val="0"/>
          <w:sz w:val="24"/>
          <w:szCs w:val="20"/>
          <w:highlight w:val="none"/>
          <w:lang w:val="en-US" w:eastAsia="zh-CN" w:bidi="ar-SA"/>
        </w:rPr>
        <w:t>十二</w:t>
      </w:r>
      <w:r>
        <w:rPr>
          <w:rFonts w:hint="eastAsia" w:ascii="宋体" w:hAnsi="宋体" w:eastAsia="宋体" w:cs="Times New Roman"/>
          <w:b/>
          <w:bCs/>
          <w:color w:val="auto"/>
          <w:spacing w:val="10"/>
          <w:kern w:val="0"/>
          <w:sz w:val="24"/>
          <w:szCs w:val="21"/>
          <w:highlight w:val="none"/>
          <w:lang w:val="en-US" w:eastAsia="zh-CN" w:bidi="ar-SA"/>
        </w:rPr>
        <w:t>、</w:t>
      </w:r>
      <w:r>
        <w:rPr>
          <w:rFonts w:hint="eastAsia" w:ascii="宋体" w:hAnsi="宋体" w:eastAsia="宋体" w:cs="宋体"/>
          <w:b/>
          <w:bCs w:val="0"/>
          <w:color w:val="auto"/>
          <w:spacing w:val="10"/>
          <w:kern w:val="0"/>
          <w:sz w:val="24"/>
          <w:szCs w:val="20"/>
          <w:highlight w:val="none"/>
          <w:lang w:val="en-US" w:eastAsia="zh-CN" w:bidi="ar-SA"/>
        </w:rPr>
        <w:t>合同生效、变更与终止</w:t>
      </w:r>
      <w:bookmarkEnd w:id="96"/>
      <w:bookmarkEnd w:id="97"/>
      <w:bookmarkEnd w:id="98"/>
      <w:bookmarkEnd w:id="99"/>
      <w:bookmarkEnd w:id="100"/>
      <w:bookmarkEnd w:id="101"/>
      <w:bookmarkEnd w:id="102"/>
    </w:p>
    <w:p w14:paraId="033F6C65">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由于不可抗力或甲方的原因使本项目的工作受到阻碍或延误，以致延长了完成时间，则乙方应当将此情况与可能产生的影响及时通知甲方，经甲方书面确认后，完成时间可以相应延长。但甲方不另行支付延长工作时间期间的费用。</w:t>
      </w:r>
    </w:p>
    <w:p w14:paraId="11B9C491">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2、在项目实施过程中，如出现内容的变更，由当事各方协商解决。</w:t>
      </w:r>
    </w:p>
    <w:p w14:paraId="047A67E5">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3、本合同有效期自生效之日起，至乙方履行完毕全部合同义务止。</w:t>
      </w:r>
    </w:p>
    <w:p w14:paraId="3C10111B">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4、当事人一方要求变更或解除合同时，应当在20个工作日前书面通知对方，因解除合同使其他方遭受损失的，除依法可以免除的责任外，应由责任方负责赔偿。</w:t>
      </w:r>
    </w:p>
    <w:p w14:paraId="64F96070">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5、变更或解除合同的通知或协议必须采取书面形式，协议未达成之前，原合同仍然有效。</w:t>
      </w:r>
    </w:p>
    <w:p w14:paraId="2BB276D3">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6、本合同的终止并不影响各方应有的权利和应当承担的责任。</w:t>
      </w:r>
    </w:p>
    <w:p w14:paraId="2E47CF80">
      <w:pPr>
        <w:widowControl w:val="0"/>
        <w:numPr>
          <w:ilvl w:val="0"/>
          <w:numId w:val="0"/>
        </w:numPr>
        <w:spacing w:before="25" w:after="25" w:line="360" w:lineRule="auto"/>
        <w:jc w:val="left"/>
        <w:rPr>
          <w:rFonts w:hint="eastAsia" w:ascii="宋体" w:hAnsi="宋体" w:eastAsia="宋体" w:cs="宋体"/>
          <w:b/>
          <w:bCs w:val="0"/>
          <w:color w:val="auto"/>
          <w:spacing w:val="10"/>
          <w:kern w:val="0"/>
          <w:sz w:val="24"/>
          <w:szCs w:val="20"/>
          <w:highlight w:val="none"/>
          <w:lang w:val="en-US" w:eastAsia="zh-CN" w:bidi="ar-SA"/>
        </w:rPr>
      </w:pPr>
      <w:bookmarkStart w:id="103" w:name="_Toc307934678"/>
      <w:bookmarkStart w:id="104" w:name="_Toc344953155"/>
      <w:bookmarkStart w:id="105" w:name="_Toc310518877"/>
      <w:bookmarkStart w:id="106" w:name="_Toc310520949"/>
      <w:bookmarkStart w:id="107" w:name="_Toc308452523"/>
      <w:bookmarkStart w:id="108" w:name="_Toc310943782"/>
      <w:bookmarkStart w:id="109" w:name="_Toc308452709"/>
      <w:r>
        <w:rPr>
          <w:rFonts w:hint="eastAsia" w:ascii="宋体" w:hAnsi="宋体" w:eastAsia="宋体" w:cs="宋体"/>
          <w:b/>
          <w:bCs w:val="0"/>
          <w:color w:val="auto"/>
          <w:spacing w:val="10"/>
          <w:kern w:val="0"/>
          <w:sz w:val="24"/>
          <w:szCs w:val="20"/>
          <w:highlight w:val="none"/>
          <w:lang w:val="en-US" w:eastAsia="zh-CN" w:bidi="ar-SA"/>
        </w:rPr>
        <w:t>十三、不可抗力</w:t>
      </w:r>
      <w:bookmarkEnd w:id="103"/>
      <w:bookmarkEnd w:id="104"/>
      <w:bookmarkEnd w:id="105"/>
      <w:bookmarkEnd w:id="106"/>
      <w:bookmarkEnd w:id="107"/>
      <w:bookmarkEnd w:id="108"/>
      <w:bookmarkEnd w:id="109"/>
    </w:p>
    <w:p w14:paraId="6E73EF23">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理由的有效证明文件。此项证明文件应由事故发生地区的公证机构出具。按照事故对履行合同的影响程度，由合同各方协商决定是否解除合同，或者部分免除履行合同的责任，或者延期履行合同。</w:t>
      </w:r>
    </w:p>
    <w:p w14:paraId="3D6D6CC1">
      <w:pPr>
        <w:widowControl w:val="0"/>
        <w:numPr>
          <w:ilvl w:val="0"/>
          <w:numId w:val="0"/>
        </w:numPr>
        <w:spacing w:before="25" w:after="25" w:line="360" w:lineRule="auto"/>
        <w:jc w:val="left"/>
        <w:rPr>
          <w:rFonts w:hint="eastAsia" w:ascii="宋体" w:hAnsi="宋体" w:eastAsia="宋体" w:cs="宋体"/>
          <w:b/>
          <w:bCs w:val="0"/>
          <w:color w:val="auto"/>
          <w:spacing w:val="10"/>
          <w:kern w:val="0"/>
          <w:sz w:val="24"/>
          <w:szCs w:val="20"/>
          <w:highlight w:val="none"/>
          <w:lang w:val="en-US" w:eastAsia="zh-CN" w:bidi="ar-SA"/>
        </w:rPr>
      </w:pPr>
      <w:bookmarkStart w:id="110" w:name="_Toc344953156"/>
      <w:r>
        <w:rPr>
          <w:rFonts w:hint="eastAsia" w:ascii="宋体" w:hAnsi="宋体" w:eastAsia="宋体" w:cs="宋体"/>
          <w:b/>
          <w:bCs w:val="0"/>
          <w:color w:val="auto"/>
          <w:spacing w:val="10"/>
          <w:kern w:val="0"/>
          <w:sz w:val="24"/>
          <w:szCs w:val="20"/>
          <w:highlight w:val="none"/>
          <w:lang w:val="en-US" w:eastAsia="zh-CN" w:bidi="ar-SA"/>
        </w:rPr>
        <w:t>十四、争议解决</w:t>
      </w:r>
      <w:bookmarkEnd w:id="110"/>
    </w:p>
    <w:p w14:paraId="77C51F6E">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凡因履行本合同而引起的一切争议或与本合同有关的争议，应由当事各方通过友好协商解决。协商不成时，当事各方同意提交</w:t>
      </w:r>
      <w:r>
        <w:rPr>
          <w:rFonts w:hint="eastAsia" w:ascii="宋体" w:hAnsi="宋体" w:cs="宋体"/>
          <w:color w:val="auto"/>
          <w:highlight w:val="none"/>
          <w:u w:val="single"/>
        </w:rPr>
        <w:t>甲方当地的人民法院</w:t>
      </w:r>
      <w:r>
        <w:rPr>
          <w:rFonts w:hint="eastAsia" w:ascii="宋体" w:hAnsi="宋体" w:cs="宋体"/>
          <w:color w:val="auto"/>
          <w:highlight w:val="none"/>
        </w:rPr>
        <w:t>进行诉讼。</w:t>
      </w:r>
    </w:p>
    <w:p w14:paraId="3DA02BF4">
      <w:pPr>
        <w:widowControl w:val="0"/>
        <w:numPr>
          <w:ilvl w:val="0"/>
          <w:numId w:val="0"/>
        </w:numPr>
        <w:spacing w:before="25" w:after="25" w:line="360" w:lineRule="auto"/>
        <w:jc w:val="left"/>
        <w:rPr>
          <w:rFonts w:hint="eastAsia" w:ascii="宋体" w:hAnsi="宋体" w:eastAsia="宋体" w:cs="宋体"/>
          <w:b/>
          <w:bCs w:val="0"/>
          <w:color w:val="auto"/>
          <w:spacing w:val="10"/>
          <w:kern w:val="0"/>
          <w:sz w:val="24"/>
          <w:szCs w:val="20"/>
          <w:highlight w:val="none"/>
          <w:lang w:val="en-US" w:eastAsia="zh-CN" w:bidi="ar-SA"/>
        </w:rPr>
      </w:pPr>
      <w:bookmarkStart w:id="111" w:name="_Toc78604617"/>
      <w:r>
        <w:rPr>
          <w:rFonts w:hint="eastAsia" w:ascii="宋体" w:hAnsi="宋体" w:eastAsia="宋体" w:cs="宋体"/>
          <w:b/>
          <w:bCs w:val="0"/>
          <w:color w:val="auto"/>
          <w:spacing w:val="10"/>
          <w:kern w:val="0"/>
          <w:sz w:val="24"/>
          <w:szCs w:val="20"/>
          <w:highlight w:val="none"/>
          <w:lang w:val="en-US" w:eastAsia="zh-CN" w:bidi="ar-SA"/>
        </w:rPr>
        <w:t>十五、税费</w:t>
      </w:r>
      <w:bookmarkEnd w:id="111"/>
    </w:p>
    <w:p w14:paraId="721DC94B">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中国政府根据现行税法所征收的一切税费均由各缴税责任方独立承担。在中国境外发生的与本合同相关的一切税费及不可预见费均由乙方负担。</w:t>
      </w:r>
      <w:r>
        <w:rPr>
          <w:rFonts w:hint="eastAsia" w:ascii="宋体" w:hAnsi="宋体" w:cs="宋体"/>
          <w:color w:val="auto"/>
          <w:szCs w:val="24"/>
          <w:highlight w:val="none"/>
        </w:rPr>
        <w:t>本项目有关税费须在佛山市禅城区缴纳。</w:t>
      </w:r>
    </w:p>
    <w:p w14:paraId="230A365B">
      <w:pPr>
        <w:widowControl w:val="0"/>
        <w:numPr>
          <w:ilvl w:val="0"/>
          <w:numId w:val="0"/>
        </w:numPr>
        <w:spacing w:before="25" w:after="25" w:line="360" w:lineRule="auto"/>
        <w:jc w:val="left"/>
        <w:rPr>
          <w:rFonts w:hint="eastAsia" w:ascii="宋体" w:hAnsi="宋体" w:eastAsia="宋体" w:cs="宋体"/>
          <w:b/>
          <w:bCs w:val="0"/>
          <w:color w:val="auto"/>
          <w:spacing w:val="10"/>
          <w:kern w:val="0"/>
          <w:sz w:val="24"/>
          <w:szCs w:val="20"/>
          <w:highlight w:val="none"/>
          <w:lang w:val="en-US" w:eastAsia="zh-CN" w:bidi="ar-SA"/>
        </w:rPr>
      </w:pPr>
      <w:bookmarkStart w:id="112" w:name="_Toc78604619"/>
      <w:r>
        <w:rPr>
          <w:rFonts w:hint="eastAsia" w:ascii="宋体" w:hAnsi="宋体" w:eastAsia="宋体" w:cs="宋体"/>
          <w:b/>
          <w:bCs w:val="0"/>
          <w:color w:val="auto"/>
          <w:spacing w:val="10"/>
          <w:kern w:val="0"/>
          <w:sz w:val="24"/>
          <w:szCs w:val="20"/>
          <w:highlight w:val="none"/>
          <w:lang w:val="en-US" w:eastAsia="zh-CN" w:bidi="ar-SA"/>
        </w:rPr>
        <w:t>十六、其它</w:t>
      </w:r>
      <w:bookmarkEnd w:id="112"/>
    </w:p>
    <w:p w14:paraId="4E2D7D8C">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本项目合同由下列文件组成，均为本合同不可分割的部分，下列文件的优先解释顺序如下：1）本合同执行期间甲、乙双方签署确认的文件（包括会议纪要、补充协议、往来信函及修正文件）；2）本采购合同；3）乙方针对本项目的各项制度和规定（包括在本合同签订后的各类新出台的制度和规定）；4）</w:t>
      </w:r>
      <w:r>
        <w:rPr>
          <w:rFonts w:hint="eastAsia" w:ascii="宋体" w:hAnsi="宋体" w:cs="宋体"/>
          <w:color w:val="auto"/>
          <w:highlight w:val="none"/>
          <w:lang w:val="en-US" w:eastAsia="zh-CN"/>
        </w:rPr>
        <w:t>成交</w:t>
      </w:r>
      <w:r>
        <w:rPr>
          <w:rFonts w:hint="eastAsia" w:ascii="宋体" w:hAnsi="宋体" w:cs="宋体"/>
          <w:color w:val="auto"/>
          <w:highlight w:val="none"/>
        </w:rPr>
        <w:t>通知书；5）</w:t>
      </w:r>
      <w:r>
        <w:rPr>
          <w:rFonts w:hint="eastAsia" w:ascii="宋体" w:hAnsi="宋体" w:cs="宋体"/>
          <w:color w:val="auto"/>
          <w:highlight w:val="none"/>
          <w:lang w:val="en-US" w:eastAsia="zh-CN"/>
        </w:rPr>
        <w:t>磋商</w:t>
      </w:r>
      <w:r>
        <w:rPr>
          <w:rFonts w:hint="eastAsia" w:ascii="宋体" w:hAnsi="宋体" w:cs="宋体"/>
          <w:color w:val="auto"/>
          <w:highlight w:val="none"/>
        </w:rPr>
        <w:t>文件及答疑补遗文件（含招标文件澄清或修正内容、答疑会议纪要等）；6）</w:t>
      </w:r>
      <w:r>
        <w:rPr>
          <w:rFonts w:hint="eastAsia" w:ascii="宋体" w:hAnsi="宋体" w:cs="宋体"/>
          <w:color w:val="auto"/>
          <w:highlight w:val="none"/>
          <w:lang w:val="en-US" w:eastAsia="zh-CN"/>
        </w:rPr>
        <w:t>磋商</w:t>
      </w:r>
      <w:r>
        <w:rPr>
          <w:rFonts w:hint="eastAsia" w:ascii="宋体" w:hAnsi="宋体" w:cs="宋体"/>
          <w:color w:val="auto"/>
          <w:highlight w:val="none"/>
        </w:rPr>
        <w:t>文件及其相关承诺附件（含</w:t>
      </w:r>
      <w:r>
        <w:rPr>
          <w:rFonts w:hint="eastAsia" w:ascii="宋体" w:hAnsi="宋体" w:cs="宋体"/>
          <w:color w:val="auto"/>
          <w:highlight w:val="none"/>
          <w:lang w:val="en-US" w:eastAsia="zh-CN"/>
        </w:rPr>
        <w:t>响应</w:t>
      </w:r>
      <w:r>
        <w:rPr>
          <w:rFonts w:hint="eastAsia" w:ascii="宋体" w:hAnsi="宋体" w:cs="宋体"/>
          <w:color w:val="auto"/>
          <w:highlight w:val="none"/>
        </w:rPr>
        <w:t>文件澄清）；7）标准、规范及有关技术文件；8）组成合同的其他文件。</w:t>
      </w:r>
    </w:p>
    <w:p w14:paraId="1CF6D089">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2、所有经双方签署确认的文件（包括会议纪要、补充协议、变更协议等）、</w:t>
      </w:r>
      <w:r>
        <w:rPr>
          <w:rFonts w:hint="eastAsia" w:ascii="宋体" w:hAnsi="宋体" w:cs="宋体"/>
          <w:color w:val="auto"/>
          <w:highlight w:val="none"/>
          <w:lang w:val="en-US" w:eastAsia="zh-CN"/>
        </w:rPr>
        <w:t>磋商</w:t>
      </w:r>
      <w:r>
        <w:rPr>
          <w:rFonts w:hint="eastAsia" w:ascii="宋体" w:hAnsi="宋体" w:cs="宋体"/>
          <w:color w:val="auto"/>
          <w:highlight w:val="none"/>
        </w:rPr>
        <w:t>文件、</w:t>
      </w:r>
      <w:r>
        <w:rPr>
          <w:rFonts w:hint="eastAsia" w:ascii="宋体" w:hAnsi="宋体" w:cs="宋体"/>
          <w:color w:val="auto"/>
          <w:highlight w:val="none"/>
          <w:lang w:val="en-US" w:eastAsia="zh-CN"/>
        </w:rPr>
        <w:t>响应</w:t>
      </w:r>
      <w:r>
        <w:rPr>
          <w:rFonts w:hint="eastAsia" w:ascii="宋体" w:hAnsi="宋体" w:cs="宋体"/>
          <w:color w:val="auto"/>
          <w:highlight w:val="none"/>
        </w:rPr>
        <w:t>文件和响应承诺文件、合同附件及《</w:t>
      </w:r>
      <w:r>
        <w:rPr>
          <w:rFonts w:hint="eastAsia" w:ascii="宋体" w:hAnsi="宋体" w:cs="宋体"/>
          <w:color w:val="auto"/>
          <w:highlight w:val="none"/>
          <w:lang w:val="en-US" w:eastAsia="zh-CN"/>
        </w:rPr>
        <w:t>成交</w:t>
      </w:r>
      <w:r>
        <w:rPr>
          <w:rFonts w:hint="eastAsia" w:ascii="宋体" w:hAnsi="宋体" w:cs="宋体"/>
          <w:color w:val="auto"/>
          <w:highlight w:val="none"/>
        </w:rPr>
        <w:t>通知书》均为本合同不可分割的有效组成部分，与本合同具有同等的法律效力和履约义务，其缔约生效日期为有效签署或盖章确认之日期。</w:t>
      </w:r>
    </w:p>
    <w:p w14:paraId="04C97E1E">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乙方在合同服务期内，自费办理派驻到项目所在地人员人身和自备财产的有关保险，保险时间应随服务时间的延长而顺延，并在出险后自行办理索赔。如果乙方不办理上述保险，则应对有关风险及后果自负其责。</w:t>
      </w:r>
    </w:p>
    <w:p w14:paraId="6346B470">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、未经对方的书面同意，无论甲方或乙方均不得转让本合同约定的权利和义务。</w:t>
      </w:r>
    </w:p>
    <w:p w14:paraId="4EB1AFEE">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、本合同未尽事宜，合同各方另行商定，必要时签定补充合同协议。补充协议经合同各方签字盖章后作为本合同补充文件。</w:t>
      </w:r>
    </w:p>
    <w:p w14:paraId="4528C3DE">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、甲、乙双方法定代表人或授权代表在合同协议书签字，并分别加盖各单位的公章，并经见证单位见证后合同生效。</w:t>
      </w:r>
    </w:p>
    <w:p w14:paraId="00DD9ED9">
      <w:pPr>
        <w:tabs>
          <w:tab w:val="left" w:pos="900"/>
          <w:tab w:val="left" w:pos="1080"/>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、本合同壹式</w:t>
      </w:r>
      <w:r>
        <w:rPr>
          <w:rFonts w:hint="eastAsia" w:ascii="宋体" w:hAnsi="宋体" w:cs="宋体"/>
          <w:color w:val="auto"/>
          <w:highlight w:val="none"/>
          <w:u w:val="single"/>
        </w:rPr>
        <w:t xml:space="preserve">   </w:t>
      </w:r>
      <w:r>
        <w:rPr>
          <w:rFonts w:hint="eastAsia" w:ascii="宋体" w:hAnsi="宋体" w:cs="宋体"/>
          <w:color w:val="auto"/>
          <w:highlight w:val="none"/>
        </w:rPr>
        <w:t>份，甲方执</w:t>
      </w:r>
      <w:r>
        <w:rPr>
          <w:rFonts w:hint="eastAsia" w:ascii="宋体" w:hAnsi="宋体" w:cs="宋体"/>
          <w:color w:val="auto"/>
          <w:highlight w:val="none"/>
          <w:u w:val="single"/>
        </w:rPr>
        <w:t xml:space="preserve">   </w:t>
      </w:r>
      <w:r>
        <w:rPr>
          <w:rFonts w:hint="eastAsia" w:ascii="宋体" w:hAnsi="宋体" w:cs="宋体"/>
          <w:color w:val="auto"/>
          <w:highlight w:val="none"/>
        </w:rPr>
        <w:t>份，乙方执</w:t>
      </w:r>
      <w:r>
        <w:rPr>
          <w:rFonts w:hint="eastAsia" w:ascii="宋体" w:hAnsi="宋体" w:cs="宋体"/>
          <w:color w:val="auto"/>
          <w:highlight w:val="none"/>
          <w:u w:val="single"/>
        </w:rPr>
        <w:t xml:space="preserve">   </w:t>
      </w:r>
      <w:r>
        <w:rPr>
          <w:rFonts w:hint="eastAsia" w:ascii="宋体" w:hAnsi="宋体" w:cs="宋体"/>
          <w:color w:val="auto"/>
          <w:highlight w:val="none"/>
        </w:rPr>
        <w:t>份，见证单位执</w:t>
      </w:r>
      <w:r>
        <w:rPr>
          <w:rFonts w:hint="eastAsia" w:ascii="宋体" w:hAnsi="宋体" w:cs="宋体"/>
          <w:color w:val="auto"/>
          <w:highlight w:val="none"/>
          <w:u w:val="single"/>
        </w:rPr>
        <w:t xml:space="preserve"> 贰 </w:t>
      </w:r>
      <w:r>
        <w:rPr>
          <w:rFonts w:hint="eastAsia" w:ascii="宋体" w:hAnsi="宋体" w:cs="宋体"/>
          <w:color w:val="auto"/>
          <w:highlight w:val="none"/>
        </w:rPr>
        <w:t>份。</w:t>
      </w:r>
    </w:p>
    <w:p w14:paraId="19675AB1">
      <w:pPr>
        <w:rPr>
          <w:rFonts w:ascii="宋体" w:hAnsi="宋体"/>
          <w:b/>
          <w:color w:val="auto"/>
          <w:highlight w:val="none"/>
        </w:rPr>
      </w:pPr>
      <w:r>
        <w:rPr>
          <w:rFonts w:hint="eastAsia" w:ascii="宋体" w:hAnsi="宋体"/>
          <w:b/>
          <w:color w:val="auto"/>
          <w:highlight w:val="none"/>
        </w:rPr>
        <w:t>（以下无正文</w:t>
      </w:r>
      <w:r>
        <w:rPr>
          <w:rFonts w:ascii="宋体" w:hAnsi="宋体"/>
          <w:b/>
          <w:color w:val="auto"/>
          <w:highlight w:val="none"/>
        </w:rPr>
        <w:t>）</w:t>
      </w:r>
    </w:p>
    <w:p w14:paraId="08B759AD">
      <w:pPr>
        <w:rPr>
          <w:rFonts w:ascii="宋体" w:hAnsi="宋体"/>
          <w:color w:val="auto"/>
          <w:highlight w:val="none"/>
        </w:rPr>
      </w:pPr>
    </w:p>
    <w:tbl>
      <w:tblPr>
        <w:tblStyle w:val="15"/>
        <w:tblW w:w="0" w:type="auto"/>
        <w:tblInd w:w="0" w:type="dxa"/>
        <w:tblLayout w:type="fixed"/>
        <w:tblCellMar>
          <w:top w:w="0" w:type="dxa"/>
          <w:left w:w="108" w:type="dxa"/>
          <w:bottom w:w="0" w:type="dxa"/>
          <w:right w:w="108" w:type="dxa"/>
        </w:tblCellMar>
      </w:tblPr>
      <w:tblGrid>
        <w:gridCol w:w="4757"/>
        <w:gridCol w:w="4757"/>
      </w:tblGrid>
      <w:tr w14:paraId="4429B281">
        <w:tc>
          <w:tcPr>
            <w:tcW w:w="4757" w:type="dxa"/>
            <w:tcBorders>
              <w:right w:val="dashSmallGap" w:color="auto" w:sz="4" w:space="0"/>
            </w:tcBorders>
            <w:noWrap w:val="0"/>
            <w:vAlign w:val="top"/>
          </w:tcPr>
          <w:p w14:paraId="72ABDD03">
            <w:pPr>
              <w:spacing w:line="432" w:lineRule="auto"/>
              <w:rPr>
                <w:rFonts w:ascii="宋体" w:hAnsi="宋体"/>
                <w:color w:val="auto"/>
                <w:highlight w:val="none"/>
              </w:rPr>
            </w:pPr>
            <w:r>
              <w:rPr>
                <w:rFonts w:hint="eastAsia"/>
                <w:b/>
                <w:color w:val="auto"/>
                <w:highlight w:val="none"/>
              </w:rPr>
              <w:t>甲方（盖章）：</w:t>
            </w:r>
          </w:p>
        </w:tc>
        <w:tc>
          <w:tcPr>
            <w:tcW w:w="4757" w:type="dxa"/>
            <w:tcBorders>
              <w:left w:val="dashSmallGap" w:color="auto" w:sz="4" w:space="0"/>
            </w:tcBorders>
            <w:noWrap w:val="0"/>
            <w:vAlign w:val="top"/>
          </w:tcPr>
          <w:p w14:paraId="5C901BA3">
            <w:pPr>
              <w:spacing w:line="432" w:lineRule="auto"/>
              <w:rPr>
                <w:rFonts w:ascii="宋体" w:hAnsi="宋体"/>
                <w:color w:val="auto"/>
                <w:highlight w:val="none"/>
              </w:rPr>
            </w:pPr>
            <w:r>
              <w:rPr>
                <w:rFonts w:hint="eastAsia"/>
                <w:b/>
                <w:color w:val="auto"/>
                <w:highlight w:val="none"/>
              </w:rPr>
              <w:t>乙方（盖章）：</w:t>
            </w:r>
          </w:p>
        </w:tc>
      </w:tr>
      <w:tr w14:paraId="224EB4B6">
        <w:tblPrEx>
          <w:tblCellMar>
            <w:top w:w="0" w:type="dxa"/>
            <w:left w:w="108" w:type="dxa"/>
            <w:bottom w:w="0" w:type="dxa"/>
            <w:right w:w="108" w:type="dxa"/>
          </w:tblCellMar>
        </w:tblPrEx>
        <w:trPr>
          <w:trHeight w:val="1042" w:hRule="atLeast"/>
        </w:trPr>
        <w:tc>
          <w:tcPr>
            <w:tcW w:w="4757" w:type="dxa"/>
            <w:tcBorders>
              <w:right w:val="dashSmallGap" w:color="auto" w:sz="4" w:space="0"/>
            </w:tcBorders>
            <w:noWrap w:val="0"/>
            <w:vAlign w:val="top"/>
          </w:tcPr>
          <w:p w14:paraId="15FF368D">
            <w:pPr>
              <w:spacing w:line="432" w:lineRule="auto"/>
              <w:rPr>
                <w:color w:val="auto"/>
                <w:highlight w:val="none"/>
              </w:rPr>
            </w:pPr>
          </w:p>
          <w:p w14:paraId="5898A4E6">
            <w:pPr>
              <w:spacing w:line="432" w:lineRule="auto"/>
              <w:rPr>
                <w:rFonts w:ascii="宋体" w:hAnsi="宋体"/>
                <w:color w:val="auto"/>
                <w:highlight w:val="none"/>
              </w:rPr>
            </w:pPr>
            <w:r>
              <w:rPr>
                <w:rFonts w:hint="eastAsia"/>
                <w:color w:val="auto"/>
                <w:highlight w:val="none"/>
              </w:rPr>
              <w:t>法人代表或授权代理人：</w:t>
            </w:r>
            <w:r>
              <w:rPr>
                <w:rFonts w:hint="eastAsia"/>
                <w:color w:val="auto"/>
                <w:highlight w:val="none"/>
                <w:u w:val="single"/>
              </w:rPr>
              <w:t xml:space="preserve">                             </w:t>
            </w:r>
          </w:p>
        </w:tc>
        <w:tc>
          <w:tcPr>
            <w:tcW w:w="4757" w:type="dxa"/>
            <w:tcBorders>
              <w:left w:val="dashSmallGap" w:color="auto" w:sz="4" w:space="0"/>
            </w:tcBorders>
            <w:noWrap w:val="0"/>
            <w:vAlign w:val="top"/>
          </w:tcPr>
          <w:p w14:paraId="695C9902">
            <w:pPr>
              <w:spacing w:line="432" w:lineRule="auto"/>
              <w:rPr>
                <w:color w:val="auto"/>
                <w:highlight w:val="none"/>
              </w:rPr>
            </w:pPr>
          </w:p>
          <w:p w14:paraId="67C141BB">
            <w:pPr>
              <w:spacing w:line="432" w:lineRule="auto"/>
              <w:rPr>
                <w:rFonts w:ascii="宋体" w:hAnsi="宋体"/>
                <w:color w:val="auto"/>
                <w:highlight w:val="none"/>
              </w:rPr>
            </w:pPr>
            <w:r>
              <w:rPr>
                <w:rFonts w:hint="eastAsia"/>
                <w:color w:val="auto"/>
                <w:highlight w:val="none"/>
              </w:rPr>
              <w:t>法人代表或授权代理人：</w:t>
            </w:r>
            <w:r>
              <w:rPr>
                <w:rFonts w:hint="eastAsia"/>
                <w:color w:val="auto"/>
                <w:highlight w:val="none"/>
                <w:u w:val="single"/>
              </w:rPr>
              <w:t xml:space="preserve">                             </w:t>
            </w:r>
          </w:p>
        </w:tc>
      </w:tr>
      <w:tr w14:paraId="1168C24F">
        <w:tblPrEx>
          <w:tblCellMar>
            <w:top w:w="0" w:type="dxa"/>
            <w:left w:w="108" w:type="dxa"/>
            <w:bottom w:w="0" w:type="dxa"/>
            <w:right w:w="108" w:type="dxa"/>
          </w:tblCellMar>
        </w:tblPrEx>
        <w:tc>
          <w:tcPr>
            <w:tcW w:w="4757" w:type="dxa"/>
            <w:tcBorders>
              <w:right w:val="dashSmallGap" w:color="auto" w:sz="4" w:space="0"/>
            </w:tcBorders>
            <w:noWrap w:val="0"/>
            <w:vAlign w:val="top"/>
          </w:tcPr>
          <w:p w14:paraId="22C19DAE">
            <w:pPr>
              <w:spacing w:line="432" w:lineRule="auto"/>
              <w:rPr>
                <w:rFonts w:ascii="宋体" w:hAnsi="宋体"/>
                <w:color w:val="auto"/>
                <w:highlight w:val="none"/>
              </w:rPr>
            </w:pPr>
            <w:r>
              <w:rPr>
                <w:rFonts w:hint="eastAsia"/>
                <w:color w:val="auto"/>
                <w:highlight w:val="none"/>
              </w:rPr>
              <w:t>地址：</w:t>
            </w:r>
          </w:p>
        </w:tc>
        <w:tc>
          <w:tcPr>
            <w:tcW w:w="4757" w:type="dxa"/>
            <w:tcBorders>
              <w:left w:val="dashSmallGap" w:color="auto" w:sz="4" w:space="0"/>
            </w:tcBorders>
            <w:noWrap w:val="0"/>
            <w:vAlign w:val="top"/>
          </w:tcPr>
          <w:p w14:paraId="11508050">
            <w:pPr>
              <w:spacing w:line="432" w:lineRule="auto"/>
              <w:rPr>
                <w:rFonts w:ascii="宋体" w:hAnsi="宋体"/>
                <w:color w:val="auto"/>
                <w:highlight w:val="none"/>
              </w:rPr>
            </w:pPr>
            <w:r>
              <w:rPr>
                <w:rFonts w:hint="eastAsia"/>
                <w:color w:val="auto"/>
                <w:highlight w:val="none"/>
              </w:rPr>
              <w:t>地址：</w:t>
            </w:r>
          </w:p>
        </w:tc>
      </w:tr>
      <w:tr w14:paraId="275EE61C">
        <w:tblPrEx>
          <w:tblCellMar>
            <w:top w:w="0" w:type="dxa"/>
            <w:left w:w="108" w:type="dxa"/>
            <w:bottom w:w="0" w:type="dxa"/>
            <w:right w:w="108" w:type="dxa"/>
          </w:tblCellMar>
        </w:tblPrEx>
        <w:tc>
          <w:tcPr>
            <w:tcW w:w="4757" w:type="dxa"/>
            <w:tcBorders>
              <w:right w:val="dashSmallGap" w:color="auto" w:sz="4" w:space="0"/>
            </w:tcBorders>
            <w:noWrap w:val="0"/>
            <w:vAlign w:val="top"/>
          </w:tcPr>
          <w:p w14:paraId="3660665F">
            <w:pPr>
              <w:spacing w:line="432" w:lineRule="auto"/>
              <w:rPr>
                <w:rFonts w:ascii="宋体" w:hAnsi="宋体"/>
                <w:color w:val="auto"/>
                <w:highlight w:val="none"/>
              </w:rPr>
            </w:pPr>
            <w:r>
              <w:rPr>
                <w:rFonts w:hint="eastAsia"/>
                <w:color w:val="auto"/>
                <w:highlight w:val="none"/>
              </w:rPr>
              <w:t>电话：</w:t>
            </w:r>
          </w:p>
        </w:tc>
        <w:tc>
          <w:tcPr>
            <w:tcW w:w="4757" w:type="dxa"/>
            <w:tcBorders>
              <w:left w:val="dashSmallGap" w:color="auto" w:sz="4" w:space="0"/>
            </w:tcBorders>
            <w:noWrap w:val="0"/>
            <w:vAlign w:val="top"/>
          </w:tcPr>
          <w:p w14:paraId="179E2646">
            <w:pPr>
              <w:spacing w:line="432" w:lineRule="auto"/>
              <w:rPr>
                <w:rFonts w:ascii="宋体" w:hAnsi="宋体"/>
                <w:color w:val="auto"/>
                <w:highlight w:val="none"/>
              </w:rPr>
            </w:pPr>
            <w:r>
              <w:rPr>
                <w:rFonts w:hint="eastAsia"/>
                <w:color w:val="auto"/>
                <w:highlight w:val="none"/>
              </w:rPr>
              <w:t>电话：</w:t>
            </w:r>
          </w:p>
        </w:tc>
      </w:tr>
      <w:tr w14:paraId="276D7B77">
        <w:tblPrEx>
          <w:tblCellMar>
            <w:top w:w="0" w:type="dxa"/>
            <w:left w:w="108" w:type="dxa"/>
            <w:bottom w:w="0" w:type="dxa"/>
            <w:right w:w="108" w:type="dxa"/>
          </w:tblCellMar>
        </w:tblPrEx>
        <w:tc>
          <w:tcPr>
            <w:tcW w:w="4757" w:type="dxa"/>
            <w:tcBorders>
              <w:right w:val="dashSmallGap" w:color="auto" w:sz="4" w:space="0"/>
            </w:tcBorders>
            <w:noWrap w:val="0"/>
            <w:vAlign w:val="top"/>
          </w:tcPr>
          <w:p w14:paraId="6C9F5BEA">
            <w:pPr>
              <w:spacing w:line="432" w:lineRule="auto"/>
              <w:rPr>
                <w:rFonts w:ascii="宋体" w:hAnsi="宋体"/>
                <w:color w:val="auto"/>
                <w:highlight w:val="none"/>
              </w:rPr>
            </w:pPr>
            <w:r>
              <w:rPr>
                <w:rFonts w:hint="eastAsia"/>
                <w:color w:val="auto"/>
                <w:highlight w:val="none"/>
              </w:rPr>
              <w:t>传真：</w:t>
            </w:r>
          </w:p>
        </w:tc>
        <w:tc>
          <w:tcPr>
            <w:tcW w:w="4757" w:type="dxa"/>
            <w:tcBorders>
              <w:left w:val="dashSmallGap" w:color="auto" w:sz="4" w:space="0"/>
            </w:tcBorders>
            <w:noWrap w:val="0"/>
            <w:vAlign w:val="top"/>
          </w:tcPr>
          <w:p w14:paraId="5C2A1ED0">
            <w:pPr>
              <w:spacing w:line="432" w:lineRule="auto"/>
              <w:rPr>
                <w:rFonts w:ascii="宋体" w:hAnsi="宋体"/>
                <w:color w:val="auto"/>
                <w:highlight w:val="none"/>
              </w:rPr>
            </w:pPr>
            <w:r>
              <w:rPr>
                <w:rFonts w:hint="eastAsia"/>
                <w:color w:val="auto"/>
                <w:highlight w:val="none"/>
              </w:rPr>
              <w:t>传真：</w:t>
            </w:r>
          </w:p>
        </w:tc>
      </w:tr>
      <w:tr w14:paraId="66DF94BE">
        <w:tblPrEx>
          <w:tblCellMar>
            <w:top w:w="0" w:type="dxa"/>
            <w:left w:w="108" w:type="dxa"/>
            <w:bottom w:w="0" w:type="dxa"/>
            <w:right w:w="108" w:type="dxa"/>
          </w:tblCellMar>
        </w:tblPrEx>
        <w:tc>
          <w:tcPr>
            <w:tcW w:w="4757" w:type="dxa"/>
            <w:tcBorders>
              <w:right w:val="dashSmallGap" w:color="auto" w:sz="4" w:space="0"/>
            </w:tcBorders>
            <w:noWrap w:val="0"/>
            <w:vAlign w:val="top"/>
          </w:tcPr>
          <w:p w14:paraId="30D08729">
            <w:pPr>
              <w:spacing w:line="432" w:lineRule="auto"/>
              <w:rPr>
                <w:rFonts w:ascii="宋体" w:hAnsi="宋体"/>
                <w:color w:val="auto"/>
                <w:highlight w:val="none"/>
              </w:rPr>
            </w:pPr>
            <w:r>
              <w:rPr>
                <w:rFonts w:hint="eastAsia"/>
                <w:color w:val="auto"/>
                <w:highlight w:val="none"/>
              </w:rPr>
              <w:t>日期：        年     月    日</w:t>
            </w:r>
          </w:p>
        </w:tc>
        <w:tc>
          <w:tcPr>
            <w:tcW w:w="4757" w:type="dxa"/>
            <w:tcBorders>
              <w:left w:val="dashSmallGap" w:color="auto" w:sz="4" w:space="0"/>
            </w:tcBorders>
            <w:noWrap w:val="0"/>
            <w:vAlign w:val="top"/>
          </w:tcPr>
          <w:p w14:paraId="7FE13C8F">
            <w:pPr>
              <w:spacing w:line="432" w:lineRule="auto"/>
              <w:rPr>
                <w:rFonts w:ascii="宋体" w:hAnsi="宋体"/>
                <w:color w:val="auto"/>
                <w:highlight w:val="none"/>
              </w:rPr>
            </w:pPr>
            <w:r>
              <w:rPr>
                <w:rFonts w:hint="eastAsia"/>
                <w:color w:val="auto"/>
                <w:highlight w:val="none"/>
              </w:rPr>
              <w:t>日期：        年     月    日</w:t>
            </w:r>
          </w:p>
        </w:tc>
      </w:tr>
      <w:tr w14:paraId="001BB880">
        <w:tblPrEx>
          <w:tblCellMar>
            <w:top w:w="0" w:type="dxa"/>
            <w:left w:w="108" w:type="dxa"/>
            <w:bottom w:w="0" w:type="dxa"/>
            <w:right w:w="108" w:type="dxa"/>
          </w:tblCellMar>
        </w:tblPrEx>
        <w:tc>
          <w:tcPr>
            <w:tcW w:w="4757" w:type="dxa"/>
            <w:tcBorders>
              <w:right w:val="dashSmallGap" w:color="auto" w:sz="4" w:space="0"/>
            </w:tcBorders>
            <w:noWrap w:val="0"/>
            <w:vAlign w:val="top"/>
          </w:tcPr>
          <w:p w14:paraId="0680EEF9">
            <w:pPr>
              <w:spacing w:line="432" w:lineRule="auto"/>
              <w:rPr>
                <w:rFonts w:ascii="宋体" w:hAnsi="宋体"/>
                <w:color w:val="auto"/>
                <w:highlight w:val="none"/>
              </w:rPr>
            </w:pPr>
          </w:p>
        </w:tc>
        <w:tc>
          <w:tcPr>
            <w:tcW w:w="4757" w:type="dxa"/>
            <w:tcBorders>
              <w:left w:val="dashSmallGap" w:color="auto" w:sz="4" w:space="0"/>
            </w:tcBorders>
            <w:noWrap w:val="0"/>
            <w:vAlign w:val="top"/>
          </w:tcPr>
          <w:p w14:paraId="4CEA3C89">
            <w:pPr>
              <w:spacing w:line="432" w:lineRule="auto"/>
              <w:rPr>
                <w:rFonts w:ascii="宋体" w:hAnsi="宋体"/>
                <w:color w:val="auto"/>
                <w:highlight w:val="none"/>
              </w:rPr>
            </w:pPr>
            <w:r>
              <w:rPr>
                <w:rFonts w:hint="eastAsia"/>
                <w:color w:val="auto"/>
                <w:highlight w:val="none"/>
              </w:rPr>
              <w:t>开户名称：</w:t>
            </w:r>
          </w:p>
        </w:tc>
      </w:tr>
      <w:tr w14:paraId="04942F81">
        <w:tblPrEx>
          <w:tblCellMar>
            <w:top w:w="0" w:type="dxa"/>
            <w:left w:w="108" w:type="dxa"/>
            <w:bottom w:w="0" w:type="dxa"/>
            <w:right w:w="108" w:type="dxa"/>
          </w:tblCellMar>
        </w:tblPrEx>
        <w:tc>
          <w:tcPr>
            <w:tcW w:w="4757" w:type="dxa"/>
            <w:tcBorders>
              <w:right w:val="dashSmallGap" w:color="auto" w:sz="4" w:space="0"/>
            </w:tcBorders>
            <w:noWrap w:val="0"/>
            <w:vAlign w:val="top"/>
          </w:tcPr>
          <w:p w14:paraId="04343C9E">
            <w:pPr>
              <w:spacing w:line="432" w:lineRule="auto"/>
              <w:rPr>
                <w:rFonts w:ascii="宋体" w:hAnsi="宋体"/>
                <w:color w:val="auto"/>
                <w:highlight w:val="none"/>
              </w:rPr>
            </w:pPr>
          </w:p>
        </w:tc>
        <w:tc>
          <w:tcPr>
            <w:tcW w:w="4757" w:type="dxa"/>
            <w:tcBorders>
              <w:left w:val="dashSmallGap" w:color="auto" w:sz="4" w:space="0"/>
            </w:tcBorders>
            <w:noWrap w:val="0"/>
            <w:vAlign w:val="top"/>
          </w:tcPr>
          <w:p w14:paraId="374DE0A0">
            <w:pPr>
              <w:spacing w:line="432" w:lineRule="auto"/>
              <w:rPr>
                <w:rFonts w:ascii="宋体" w:hAnsi="宋体"/>
                <w:color w:val="auto"/>
                <w:highlight w:val="none"/>
              </w:rPr>
            </w:pPr>
            <w:r>
              <w:rPr>
                <w:rFonts w:hint="eastAsia"/>
                <w:color w:val="auto"/>
                <w:highlight w:val="none"/>
              </w:rPr>
              <w:t>银行帐号：</w:t>
            </w:r>
          </w:p>
        </w:tc>
      </w:tr>
      <w:tr w14:paraId="5EA8B379">
        <w:tc>
          <w:tcPr>
            <w:tcW w:w="4757" w:type="dxa"/>
            <w:tcBorders>
              <w:right w:val="dashSmallGap" w:color="auto" w:sz="4" w:space="0"/>
            </w:tcBorders>
            <w:noWrap w:val="0"/>
            <w:vAlign w:val="top"/>
          </w:tcPr>
          <w:p w14:paraId="7D5F0DA9">
            <w:pPr>
              <w:spacing w:line="432" w:lineRule="auto"/>
              <w:rPr>
                <w:rFonts w:ascii="宋体" w:hAnsi="宋体"/>
                <w:color w:val="auto"/>
                <w:highlight w:val="none"/>
              </w:rPr>
            </w:pPr>
          </w:p>
        </w:tc>
        <w:tc>
          <w:tcPr>
            <w:tcW w:w="4757" w:type="dxa"/>
            <w:tcBorders>
              <w:left w:val="dashSmallGap" w:color="auto" w:sz="4" w:space="0"/>
            </w:tcBorders>
            <w:noWrap w:val="0"/>
            <w:vAlign w:val="top"/>
          </w:tcPr>
          <w:p w14:paraId="066635B3">
            <w:pPr>
              <w:spacing w:line="432" w:lineRule="auto"/>
              <w:rPr>
                <w:rFonts w:ascii="宋体" w:hAnsi="宋体"/>
                <w:color w:val="auto"/>
                <w:highlight w:val="none"/>
              </w:rPr>
            </w:pPr>
            <w:r>
              <w:rPr>
                <w:rFonts w:hint="eastAsia" w:ascii="宋体" w:hAnsi="宋体"/>
                <w:color w:val="auto"/>
                <w:highlight w:val="none"/>
              </w:rPr>
              <w:t>开 户 行：</w:t>
            </w:r>
          </w:p>
        </w:tc>
      </w:tr>
      <w:tr w14:paraId="1A3CD69C">
        <w:tblPrEx>
          <w:tblCellMar>
            <w:top w:w="0" w:type="dxa"/>
            <w:left w:w="108" w:type="dxa"/>
            <w:bottom w:w="0" w:type="dxa"/>
            <w:right w:w="108" w:type="dxa"/>
          </w:tblCellMar>
        </w:tblPrEx>
        <w:tc>
          <w:tcPr>
            <w:tcW w:w="4757" w:type="dxa"/>
            <w:noWrap w:val="0"/>
            <w:vAlign w:val="top"/>
          </w:tcPr>
          <w:p w14:paraId="04BE9408">
            <w:pPr>
              <w:spacing w:line="432" w:lineRule="auto"/>
              <w:rPr>
                <w:rFonts w:ascii="宋体" w:hAnsi="宋体"/>
                <w:color w:val="auto"/>
                <w:highlight w:val="none"/>
              </w:rPr>
            </w:pPr>
          </w:p>
        </w:tc>
        <w:tc>
          <w:tcPr>
            <w:tcW w:w="4757" w:type="dxa"/>
            <w:noWrap w:val="0"/>
            <w:vAlign w:val="top"/>
          </w:tcPr>
          <w:p w14:paraId="22C6A9B8">
            <w:pPr>
              <w:spacing w:line="432" w:lineRule="auto"/>
              <w:rPr>
                <w:rFonts w:ascii="宋体" w:hAnsi="宋体"/>
                <w:color w:val="auto"/>
                <w:highlight w:val="none"/>
              </w:rPr>
            </w:pPr>
          </w:p>
        </w:tc>
      </w:tr>
      <w:tr w14:paraId="1E219C43">
        <w:tblPrEx>
          <w:tblCellMar>
            <w:top w:w="0" w:type="dxa"/>
            <w:left w:w="108" w:type="dxa"/>
            <w:bottom w:w="0" w:type="dxa"/>
            <w:right w:w="108" w:type="dxa"/>
          </w:tblCellMar>
        </w:tblPrEx>
        <w:tc>
          <w:tcPr>
            <w:tcW w:w="4757" w:type="dxa"/>
            <w:noWrap w:val="0"/>
            <w:vAlign w:val="top"/>
          </w:tcPr>
          <w:p w14:paraId="33A637E2">
            <w:pPr>
              <w:spacing w:line="432" w:lineRule="auto"/>
              <w:rPr>
                <w:rFonts w:hint="eastAsia" w:ascii="宋体" w:hAnsi="宋体" w:eastAsia="宋体"/>
                <w:b/>
                <w:color w:val="auto"/>
                <w:highlight w:val="none"/>
                <w:lang w:eastAsia="zh-CN"/>
              </w:rPr>
            </w:pPr>
            <w:r>
              <w:rPr>
                <w:rFonts w:hint="eastAsia" w:ascii="宋体" w:hAnsi="宋体"/>
                <w:b/>
                <w:color w:val="auto"/>
                <w:highlight w:val="none"/>
              </w:rPr>
              <w:t>见证单位：</w:t>
            </w:r>
            <w:r>
              <w:rPr>
                <w:rFonts w:hint="eastAsia" w:ascii="宋体" w:hAnsi="宋体"/>
                <w:b/>
                <w:color w:val="auto"/>
                <w:highlight w:val="none"/>
                <w:lang w:eastAsia="zh-CN"/>
              </w:rPr>
              <w:t>华睿诚项目管理有限公司</w:t>
            </w:r>
          </w:p>
        </w:tc>
        <w:tc>
          <w:tcPr>
            <w:tcW w:w="4757" w:type="dxa"/>
            <w:noWrap w:val="0"/>
            <w:vAlign w:val="top"/>
          </w:tcPr>
          <w:p w14:paraId="010D635F">
            <w:pPr>
              <w:spacing w:line="432" w:lineRule="auto"/>
              <w:rPr>
                <w:rFonts w:ascii="宋体" w:hAnsi="宋体"/>
                <w:color w:val="auto"/>
                <w:highlight w:val="none"/>
              </w:rPr>
            </w:pPr>
          </w:p>
        </w:tc>
      </w:tr>
      <w:tr w14:paraId="0F997B96">
        <w:tblPrEx>
          <w:tblCellMar>
            <w:top w:w="0" w:type="dxa"/>
            <w:left w:w="108" w:type="dxa"/>
            <w:bottom w:w="0" w:type="dxa"/>
            <w:right w:w="108" w:type="dxa"/>
          </w:tblCellMar>
        </w:tblPrEx>
        <w:tc>
          <w:tcPr>
            <w:tcW w:w="4757" w:type="dxa"/>
            <w:noWrap w:val="0"/>
            <w:vAlign w:val="top"/>
          </w:tcPr>
          <w:p w14:paraId="016B506E">
            <w:pPr>
              <w:spacing w:line="432" w:lineRule="auto"/>
              <w:rPr>
                <w:color w:val="auto"/>
                <w:highlight w:val="none"/>
              </w:rPr>
            </w:pPr>
          </w:p>
          <w:p w14:paraId="19B6F399">
            <w:pPr>
              <w:spacing w:line="432" w:lineRule="auto"/>
              <w:rPr>
                <w:rFonts w:ascii="宋体" w:hAnsi="宋体"/>
                <w:color w:val="auto"/>
                <w:highlight w:val="none"/>
              </w:rPr>
            </w:pPr>
            <w:r>
              <w:rPr>
                <w:rFonts w:hint="eastAsia"/>
                <w:color w:val="auto"/>
                <w:highlight w:val="none"/>
              </w:rPr>
              <w:t>经办人：</w:t>
            </w:r>
            <w:r>
              <w:rPr>
                <w:rFonts w:hint="eastAsia"/>
                <w:color w:val="auto"/>
                <w:highlight w:val="none"/>
                <w:u w:val="single"/>
              </w:rPr>
              <w:t xml:space="preserve">                          </w:t>
            </w:r>
          </w:p>
        </w:tc>
        <w:tc>
          <w:tcPr>
            <w:tcW w:w="4757" w:type="dxa"/>
            <w:noWrap w:val="0"/>
            <w:vAlign w:val="top"/>
          </w:tcPr>
          <w:p w14:paraId="278980BD">
            <w:pPr>
              <w:spacing w:line="432" w:lineRule="auto"/>
              <w:rPr>
                <w:rFonts w:ascii="宋体" w:hAnsi="宋体"/>
                <w:color w:val="auto"/>
                <w:highlight w:val="none"/>
              </w:rPr>
            </w:pPr>
          </w:p>
        </w:tc>
      </w:tr>
      <w:tr w14:paraId="03927861">
        <w:tblPrEx>
          <w:tblCellMar>
            <w:top w:w="0" w:type="dxa"/>
            <w:left w:w="108" w:type="dxa"/>
            <w:bottom w:w="0" w:type="dxa"/>
            <w:right w:w="108" w:type="dxa"/>
          </w:tblCellMar>
        </w:tblPrEx>
        <w:tc>
          <w:tcPr>
            <w:tcW w:w="4757" w:type="dxa"/>
            <w:noWrap w:val="0"/>
            <w:vAlign w:val="top"/>
          </w:tcPr>
          <w:p w14:paraId="487FA283">
            <w:pPr>
              <w:spacing w:line="432" w:lineRule="auto"/>
              <w:rPr>
                <w:rFonts w:ascii="宋体" w:hAnsi="宋体"/>
                <w:color w:val="auto"/>
                <w:highlight w:val="none"/>
              </w:rPr>
            </w:pPr>
            <w:r>
              <w:rPr>
                <w:rFonts w:hint="eastAsia"/>
                <w:color w:val="auto"/>
                <w:highlight w:val="none"/>
              </w:rPr>
              <w:t>业务电话：</w:t>
            </w:r>
          </w:p>
        </w:tc>
        <w:tc>
          <w:tcPr>
            <w:tcW w:w="4757" w:type="dxa"/>
            <w:noWrap w:val="0"/>
            <w:vAlign w:val="top"/>
          </w:tcPr>
          <w:p w14:paraId="336F3B4B">
            <w:pPr>
              <w:spacing w:line="432" w:lineRule="auto"/>
              <w:rPr>
                <w:rFonts w:ascii="宋体" w:hAnsi="宋体"/>
                <w:color w:val="auto"/>
                <w:highlight w:val="none"/>
              </w:rPr>
            </w:pPr>
          </w:p>
        </w:tc>
      </w:tr>
      <w:tr w14:paraId="437650D6">
        <w:tblPrEx>
          <w:tblCellMar>
            <w:top w:w="0" w:type="dxa"/>
            <w:left w:w="108" w:type="dxa"/>
            <w:bottom w:w="0" w:type="dxa"/>
            <w:right w:w="108" w:type="dxa"/>
          </w:tblCellMar>
        </w:tblPrEx>
        <w:tc>
          <w:tcPr>
            <w:tcW w:w="4757" w:type="dxa"/>
            <w:noWrap w:val="0"/>
            <w:vAlign w:val="top"/>
          </w:tcPr>
          <w:p w14:paraId="27CD38A6">
            <w:pPr>
              <w:spacing w:line="432" w:lineRule="auto"/>
              <w:rPr>
                <w:color w:val="auto"/>
                <w:highlight w:val="none"/>
              </w:rPr>
            </w:pPr>
            <w:r>
              <w:rPr>
                <w:rFonts w:hint="eastAsia"/>
                <w:color w:val="auto"/>
                <w:highlight w:val="none"/>
              </w:rPr>
              <w:t>合同生效日期：       年     月     日</w:t>
            </w:r>
          </w:p>
        </w:tc>
        <w:tc>
          <w:tcPr>
            <w:tcW w:w="4757" w:type="dxa"/>
            <w:noWrap w:val="0"/>
            <w:vAlign w:val="top"/>
          </w:tcPr>
          <w:p w14:paraId="0B91B6F8">
            <w:pPr>
              <w:spacing w:line="432" w:lineRule="auto"/>
              <w:rPr>
                <w:rFonts w:ascii="宋体" w:hAnsi="宋体"/>
                <w:color w:val="auto"/>
                <w:highlight w:val="none"/>
              </w:rPr>
            </w:pPr>
          </w:p>
        </w:tc>
      </w:tr>
    </w:tbl>
    <w:p w14:paraId="46C17D3F">
      <w:pPr>
        <w:rPr>
          <w:color w:val="auto"/>
          <w:highlight w:val="none"/>
        </w:rPr>
      </w:pPr>
    </w:p>
    <w:p w14:paraId="34DD47BB">
      <w:pPr>
        <w:tabs>
          <w:tab w:val="left" w:pos="540"/>
        </w:tabs>
        <w:snapToGrid w:val="0"/>
        <w:spacing w:line="360" w:lineRule="auto"/>
        <w:rPr>
          <w:rFonts w:ascii="宋体" w:hAnsi="宋体"/>
          <w:color w:val="auto"/>
          <w:highlight w:val="none"/>
        </w:rPr>
      </w:pPr>
    </w:p>
    <w:p w14:paraId="0438E986">
      <w:pPr>
        <w:rPr>
          <w:rFonts w:ascii="宋体" w:hAnsi="宋体"/>
          <w:color w:val="auto"/>
          <w:highlight w:val="none"/>
        </w:rPr>
      </w:pPr>
    </w:p>
    <w:p w14:paraId="182A0666">
      <w:pPr>
        <w:rPr>
          <w:rFonts w:hint="default" w:ascii="宋体" w:hAnsi="宋体" w:eastAsia="宋体"/>
          <w:color w:val="auto"/>
          <w:highlight w:val="none"/>
          <w:lang w:val="en-US" w:eastAsia="zh-CN"/>
        </w:rPr>
      </w:pPr>
      <w:r>
        <w:rPr>
          <w:rFonts w:hint="eastAsia" w:ascii="宋体" w:hAnsi="宋体"/>
          <w:color w:val="auto"/>
          <w:highlight w:val="none"/>
          <w:lang w:val="en-US" w:eastAsia="zh-CN"/>
        </w:rPr>
        <w:br w:type="page"/>
      </w:r>
      <w:r>
        <w:rPr>
          <w:rFonts w:hint="eastAsia" w:ascii="宋体" w:hAnsi="宋体"/>
          <w:color w:val="auto"/>
          <w:highlight w:val="none"/>
          <w:lang w:val="en-US" w:eastAsia="zh-CN"/>
        </w:rPr>
        <w:t>附件一：</w:t>
      </w:r>
    </w:p>
    <w:p w14:paraId="13BADA49">
      <w:pPr>
        <w:numPr>
          <w:ilvl w:val="0"/>
          <w:numId w:val="0"/>
        </w:numPr>
        <w:tabs>
          <w:tab w:val="left" w:pos="0"/>
        </w:tabs>
        <w:spacing w:line="360" w:lineRule="auto"/>
        <w:ind w:leftChars="0"/>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w:t>
      </w:r>
      <w:r>
        <w:rPr>
          <w:rFonts w:hint="eastAsia" w:ascii="Calibri"/>
          <w:b/>
          <w:bCs w:val="0"/>
          <w:color w:val="auto"/>
          <w:sz w:val="24"/>
          <w:szCs w:val="24"/>
          <w:highlight w:val="none"/>
          <w:lang w:val="en-GB"/>
        </w:rPr>
        <w:t>考核细则</w:t>
      </w:r>
      <w:r>
        <w:rPr>
          <w:rFonts w:hint="eastAsia" w:eastAsia="宋体"/>
          <w:b/>
          <w:bCs w:val="0"/>
          <w:color w:val="auto"/>
          <w:sz w:val="24"/>
          <w:szCs w:val="24"/>
          <w:highlight w:val="none"/>
          <w:lang w:val="en-US" w:eastAsia="zh-CN"/>
        </w:rPr>
        <w:t>》</w:t>
      </w:r>
    </w:p>
    <w:p w14:paraId="1E3BAB28">
      <w:pPr>
        <w:widowControl w:val="0"/>
        <w:spacing w:line="360" w:lineRule="auto"/>
        <w:ind w:firstLine="482" w:firstLineChars="200"/>
        <w:jc w:val="center"/>
        <w:rPr>
          <w:rFonts w:hint="default" w:ascii="Times New Roman" w:hAnsi="Times New Roman" w:eastAsia="宋体" w:cs="Times New Roman"/>
          <w:kern w:val="2"/>
          <w:sz w:val="24"/>
          <w:szCs w:val="20"/>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本考核办法满分为100分。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683"/>
        <w:gridCol w:w="4073"/>
        <w:gridCol w:w="504"/>
      </w:tblGrid>
      <w:tr w14:paraId="4EE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noWrap w:val="0"/>
            <w:vAlign w:val="center"/>
          </w:tcPr>
          <w:p w14:paraId="021EAFA5">
            <w:pPr>
              <w:spacing w:line="360" w:lineRule="auto"/>
              <w:jc w:val="center"/>
              <w:rPr>
                <w:rFonts w:hint="eastAsia"/>
                <w:b/>
                <w:bCs/>
                <w:color w:val="auto"/>
                <w:sz w:val="24"/>
                <w:szCs w:val="24"/>
                <w:highlight w:val="none"/>
              </w:rPr>
            </w:pPr>
            <w:r>
              <w:rPr>
                <w:rFonts w:hint="eastAsia"/>
                <w:b/>
                <w:bCs/>
                <w:color w:val="auto"/>
                <w:sz w:val="24"/>
                <w:szCs w:val="24"/>
                <w:highlight w:val="none"/>
              </w:rPr>
              <w:t>序号</w:t>
            </w:r>
          </w:p>
        </w:tc>
        <w:tc>
          <w:tcPr>
            <w:tcW w:w="0" w:type="auto"/>
            <w:noWrap w:val="0"/>
            <w:vAlign w:val="center"/>
          </w:tcPr>
          <w:p w14:paraId="037F9893">
            <w:pPr>
              <w:spacing w:line="360" w:lineRule="auto"/>
              <w:jc w:val="center"/>
              <w:rPr>
                <w:rFonts w:hint="eastAsia"/>
                <w:b/>
                <w:bCs/>
                <w:color w:val="auto"/>
                <w:sz w:val="24"/>
                <w:szCs w:val="24"/>
                <w:highlight w:val="none"/>
              </w:rPr>
            </w:pPr>
            <w:r>
              <w:rPr>
                <w:rFonts w:hint="eastAsia" w:eastAsia="宋体"/>
                <w:b/>
                <w:bCs/>
                <w:color w:val="auto"/>
                <w:sz w:val="24"/>
                <w:szCs w:val="24"/>
                <w:highlight w:val="none"/>
                <w:lang w:val="en-US" w:eastAsia="zh-CN"/>
              </w:rPr>
              <w:t>考核</w:t>
            </w:r>
            <w:r>
              <w:rPr>
                <w:rFonts w:hint="eastAsia"/>
                <w:b/>
                <w:bCs/>
                <w:color w:val="auto"/>
                <w:sz w:val="24"/>
                <w:szCs w:val="24"/>
                <w:highlight w:val="none"/>
              </w:rPr>
              <w:t>标准</w:t>
            </w:r>
          </w:p>
        </w:tc>
        <w:tc>
          <w:tcPr>
            <w:tcW w:w="0" w:type="auto"/>
            <w:noWrap w:val="0"/>
            <w:vAlign w:val="center"/>
          </w:tcPr>
          <w:p w14:paraId="1B654A58">
            <w:pPr>
              <w:spacing w:line="360" w:lineRule="auto"/>
              <w:jc w:val="center"/>
              <w:rPr>
                <w:rFonts w:hint="eastAsia" w:eastAsia="宋体"/>
                <w:b/>
                <w:bCs/>
                <w:color w:val="auto"/>
                <w:sz w:val="24"/>
                <w:szCs w:val="24"/>
                <w:highlight w:val="none"/>
                <w:lang w:val="en-US" w:eastAsia="zh-CN"/>
              </w:rPr>
            </w:pPr>
            <w:r>
              <w:rPr>
                <w:rFonts w:hint="eastAsia"/>
                <w:b/>
                <w:bCs/>
                <w:color w:val="auto"/>
                <w:sz w:val="24"/>
                <w:szCs w:val="24"/>
                <w:highlight w:val="none"/>
              </w:rPr>
              <w:t>扣分</w:t>
            </w:r>
            <w:r>
              <w:rPr>
                <w:rFonts w:hint="eastAsia" w:eastAsia="宋体"/>
                <w:b/>
                <w:bCs/>
                <w:color w:val="auto"/>
                <w:sz w:val="24"/>
                <w:szCs w:val="24"/>
                <w:highlight w:val="none"/>
                <w:lang w:val="en-US" w:eastAsia="zh-CN"/>
              </w:rPr>
              <w:t>情况</w:t>
            </w:r>
          </w:p>
        </w:tc>
        <w:tc>
          <w:tcPr>
            <w:tcW w:w="0" w:type="auto"/>
            <w:noWrap w:val="0"/>
            <w:vAlign w:val="center"/>
          </w:tcPr>
          <w:p w14:paraId="5D9C22A5">
            <w:pPr>
              <w:spacing w:line="360" w:lineRule="auto"/>
              <w:jc w:val="center"/>
              <w:rPr>
                <w:rFonts w:hint="eastAsia"/>
                <w:b/>
                <w:bCs/>
                <w:color w:val="auto"/>
                <w:sz w:val="24"/>
                <w:szCs w:val="24"/>
                <w:highlight w:val="none"/>
              </w:rPr>
            </w:pPr>
            <w:r>
              <w:rPr>
                <w:b/>
                <w:color w:val="000000"/>
                <w:sz w:val="21"/>
                <w:highlight w:val="none"/>
              </w:rPr>
              <w:t>扣分</w:t>
            </w:r>
          </w:p>
        </w:tc>
      </w:tr>
      <w:tr w14:paraId="710B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21C10A5E">
            <w:pPr>
              <w:spacing w:line="360" w:lineRule="auto"/>
              <w:jc w:val="center"/>
              <w:rPr>
                <w:rFonts w:hint="eastAsia"/>
                <w:color w:val="auto"/>
                <w:sz w:val="24"/>
                <w:szCs w:val="24"/>
                <w:highlight w:val="none"/>
              </w:rPr>
            </w:pPr>
            <w:r>
              <w:rPr>
                <w:rFonts w:hint="eastAsia"/>
                <w:color w:val="auto"/>
                <w:sz w:val="24"/>
                <w:szCs w:val="24"/>
                <w:highlight w:val="none"/>
              </w:rPr>
              <w:t>1</w:t>
            </w:r>
          </w:p>
        </w:tc>
        <w:tc>
          <w:tcPr>
            <w:tcW w:w="0" w:type="auto"/>
            <w:noWrap w:val="0"/>
            <w:vAlign w:val="center"/>
          </w:tcPr>
          <w:p w14:paraId="2ECFFF38">
            <w:pPr>
              <w:spacing w:line="360" w:lineRule="auto"/>
              <w:rPr>
                <w:rFonts w:hint="eastAsia"/>
                <w:color w:val="auto"/>
                <w:sz w:val="24"/>
                <w:szCs w:val="24"/>
                <w:highlight w:val="none"/>
              </w:rPr>
            </w:pPr>
            <w:r>
              <w:rPr>
                <w:rFonts w:hint="eastAsia"/>
                <w:color w:val="auto"/>
                <w:sz w:val="24"/>
                <w:szCs w:val="24"/>
                <w:highlight w:val="none"/>
              </w:rPr>
              <w:t>上班迟到、早退、擅自离岗时间不足1小时的</w:t>
            </w:r>
          </w:p>
        </w:tc>
        <w:tc>
          <w:tcPr>
            <w:tcW w:w="0" w:type="auto"/>
            <w:noWrap w:val="0"/>
            <w:vAlign w:val="center"/>
          </w:tcPr>
          <w:p w14:paraId="0BEDF5AF">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0.2分，每天上限扣3分</w:t>
            </w:r>
            <w:r>
              <w:rPr>
                <w:rFonts w:hint="eastAsia" w:eastAsia="宋体"/>
                <w:color w:val="auto"/>
                <w:sz w:val="24"/>
                <w:szCs w:val="24"/>
                <w:highlight w:val="none"/>
                <w:lang w:eastAsia="zh-CN"/>
              </w:rPr>
              <w:t>。</w:t>
            </w:r>
          </w:p>
        </w:tc>
        <w:tc>
          <w:tcPr>
            <w:tcW w:w="0" w:type="auto"/>
            <w:noWrap w:val="0"/>
            <w:vAlign w:val="center"/>
          </w:tcPr>
          <w:p w14:paraId="558DD3FC">
            <w:pPr>
              <w:spacing w:line="360" w:lineRule="auto"/>
              <w:rPr>
                <w:rFonts w:hint="eastAsia"/>
                <w:color w:val="auto"/>
                <w:sz w:val="24"/>
                <w:szCs w:val="24"/>
                <w:highlight w:val="none"/>
              </w:rPr>
            </w:pPr>
          </w:p>
        </w:tc>
      </w:tr>
      <w:tr w14:paraId="6B6B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203A0E6">
            <w:pPr>
              <w:spacing w:line="360" w:lineRule="auto"/>
              <w:jc w:val="center"/>
              <w:rPr>
                <w:rFonts w:hint="eastAsia"/>
                <w:color w:val="auto"/>
                <w:sz w:val="24"/>
                <w:szCs w:val="24"/>
                <w:highlight w:val="none"/>
              </w:rPr>
            </w:pPr>
            <w:r>
              <w:rPr>
                <w:rFonts w:hint="eastAsia"/>
                <w:color w:val="auto"/>
                <w:sz w:val="24"/>
                <w:szCs w:val="24"/>
                <w:highlight w:val="none"/>
              </w:rPr>
              <w:t>2</w:t>
            </w:r>
          </w:p>
        </w:tc>
        <w:tc>
          <w:tcPr>
            <w:tcW w:w="0" w:type="auto"/>
            <w:noWrap w:val="0"/>
            <w:vAlign w:val="center"/>
          </w:tcPr>
          <w:p w14:paraId="6DE2824F">
            <w:pPr>
              <w:spacing w:line="360" w:lineRule="auto"/>
              <w:rPr>
                <w:rFonts w:hint="eastAsia"/>
                <w:color w:val="auto"/>
                <w:sz w:val="24"/>
                <w:szCs w:val="24"/>
                <w:highlight w:val="none"/>
              </w:rPr>
            </w:pPr>
            <w:r>
              <w:rPr>
                <w:rFonts w:hint="eastAsia"/>
                <w:color w:val="auto"/>
                <w:sz w:val="24"/>
                <w:szCs w:val="24"/>
                <w:highlight w:val="none"/>
              </w:rPr>
              <w:t>上班迟到、早退、擅自离岗时间超过1小时（少于3小时）的；突发重特大事故（件）紧急集结时缺席的</w:t>
            </w:r>
          </w:p>
        </w:tc>
        <w:tc>
          <w:tcPr>
            <w:tcW w:w="0" w:type="auto"/>
            <w:noWrap w:val="0"/>
            <w:vAlign w:val="center"/>
          </w:tcPr>
          <w:p w14:paraId="448A9DAD">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35E44DD3">
            <w:pPr>
              <w:spacing w:line="360" w:lineRule="auto"/>
              <w:rPr>
                <w:rFonts w:hint="eastAsia"/>
                <w:color w:val="auto"/>
                <w:sz w:val="24"/>
                <w:szCs w:val="24"/>
                <w:highlight w:val="none"/>
              </w:rPr>
            </w:pPr>
          </w:p>
        </w:tc>
      </w:tr>
      <w:tr w14:paraId="3B1A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6ACA627">
            <w:pPr>
              <w:spacing w:line="360" w:lineRule="auto"/>
              <w:jc w:val="center"/>
              <w:rPr>
                <w:rFonts w:hint="eastAsia"/>
                <w:color w:val="auto"/>
                <w:sz w:val="24"/>
                <w:szCs w:val="24"/>
                <w:highlight w:val="none"/>
              </w:rPr>
            </w:pPr>
            <w:r>
              <w:rPr>
                <w:rFonts w:hint="eastAsia"/>
                <w:color w:val="auto"/>
                <w:sz w:val="24"/>
                <w:szCs w:val="24"/>
                <w:highlight w:val="none"/>
              </w:rPr>
              <w:t>3</w:t>
            </w:r>
          </w:p>
        </w:tc>
        <w:tc>
          <w:tcPr>
            <w:tcW w:w="0" w:type="auto"/>
            <w:noWrap w:val="0"/>
            <w:vAlign w:val="center"/>
          </w:tcPr>
          <w:p w14:paraId="07E980A3">
            <w:pPr>
              <w:spacing w:line="360" w:lineRule="auto"/>
              <w:rPr>
                <w:rFonts w:hint="eastAsia"/>
                <w:color w:val="auto"/>
                <w:sz w:val="24"/>
                <w:szCs w:val="24"/>
                <w:highlight w:val="none"/>
              </w:rPr>
            </w:pPr>
            <w:r>
              <w:rPr>
                <w:rFonts w:hint="eastAsia"/>
                <w:color w:val="auto"/>
                <w:sz w:val="24"/>
                <w:szCs w:val="24"/>
                <w:highlight w:val="none"/>
              </w:rPr>
              <w:t>上班、值班或执勤期间擅离职守3小时（含）以上</w:t>
            </w:r>
          </w:p>
        </w:tc>
        <w:tc>
          <w:tcPr>
            <w:tcW w:w="0" w:type="auto"/>
            <w:noWrap w:val="0"/>
            <w:vAlign w:val="center"/>
          </w:tcPr>
          <w:p w14:paraId="11FEB13B">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1分；情节严重的，每人每次扣2分。每天上限扣10分</w:t>
            </w:r>
            <w:r>
              <w:rPr>
                <w:rFonts w:hint="eastAsia" w:eastAsia="宋体"/>
                <w:color w:val="auto"/>
                <w:sz w:val="24"/>
                <w:szCs w:val="24"/>
                <w:highlight w:val="none"/>
                <w:lang w:eastAsia="zh-CN"/>
              </w:rPr>
              <w:t>。</w:t>
            </w:r>
          </w:p>
        </w:tc>
        <w:tc>
          <w:tcPr>
            <w:tcW w:w="0" w:type="auto"/>
            <w:noWrap w:val="0"/>
            <w:vAlign w:val="center"/>
          </w:tcPr>
          <w:p w14:paraId="20A81383">
            <w:pPr>
              <w:spacing w:line="360" w:lineRule="auto"/>
              <w:rPr>
                <w:rFonts w:hint="eastAsia"/>
                <w:color w:val="auto"/>
                <w:sz w:val="24"/>
                <w:szCs w:val="24"/>
                <w:highlight w:val="none"/>
              </w:rPr>
            </w:pPr>
          </w:p>
        </w:tc>
      </w:tr>
      <w:tr w14:paraId="7FB4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771583E6">
            <w:pPr>
              <w:spacing w:line="360" w:lineRule="auto"/>
              <w:jc w:val="center"/>
              <w:rPr>
                <w:rFonts w:hint="eastAsia"/>
                <w:color w:val="auto"/>
                <w:sz w:val="24"/>
                <w:szCs w:val="24"/>
                <w:highlight w:val="none"/>
              </w:rPr>
            </w:pPr>
            <w:r>
              <w:rPr>
                <w:rFonts w:hint="eastAsia"/>
                <w:color w:val="auto"/>
                <w:sz w:val="24"/>
                <w:szCs w:val="24"/>
                <w:highlight w:val="none"/>
              </w:rPr>
              <w:t>4</w:t>
            </w:r>
          </w:p>
        </w:tc>
        <w:tc>
          <w:tcPr>
            <w:tcW w:w="0" w:type="auto"/>
            <w:noWrap w:val="0"/>
            <w:vAlign w:val="center"/>
          </w:tcPr>
          <w:p w14:paraId="47B4E78E">
            <w:pPr>
              <w:spacing w:line="360" w:lineRule="auto"/>
              <w:rPr>
                <w:rFonts w:hint="eastAsia"/>
                <w:color w:val="auto"/>
                <w:sz w:val="24"/>
                <w:szCs w:val="24"/>
                <w:highlight w:val="none"/>
              </w:rPr>
            </w:pPr>
            <w:r>
              <w:rPr>
                <w:rFonts w:hint="eastAsia"/>
                <w:color w:val="auto"/>
                <w:sz w:val="24"/>
                <w:szCs w:val="24"/>
                <w:highlight w:val="none"/>
              </w:rPr>
              <w:t>无故旷工或者因私外出无正当理由逾期不归的</w:t>
            </w:r>
          </w:p>
        </w:tc>
        <w:tc>
          <w:tcPr>
            <w:tcW w:w="0" w:type="auto"/>
            <w:noWrap w:val="0"/>
            <w:vAlign w:val="center"/>
          </w:tcPr>
          <w:p w14:paraId="02B8DBE7">
            <w:pPr>
              <w:spacing w:line="360" w:lineRule="auto"/>
              <w:rPr>
                <w:rFonts w:hint="eastAsia" w:eastAsia="宋体"/>
                <w:color w:val="auto"/>
                <w:sz w:val="24"/>
                <w:szCs w:val="24"/>
                <w:highlight w:val="none"/>
                <w:lang w:eastAsia="zh-CN"/>
              </w:rPr>
            </w:pPr>
            <w:r>
              <w:rPr>
                <w:rFonts w:hint="eastAsia"/>
                <w:color w:val="auto"/>
                <w:sz w:val="24"/>
                <w:szCs w:val="24"/>
                <w:highlight w:val="none"/>
              </w:rPr>
              <w:t>每人每天扣 1分，每天上限扣10分</w:t>
            </w:r>
            <w:r>
              <w:rPr>
                <w:rFonts w:hint="eastAsia" w:eastAsia="宋体"/>
                <w:color w:val="auto"/>
                <w:sz w:val="24"/>
                <w:szCs w:val="24"/>
                <w:highlight w:val="none"/>
                <w:lang w:eastAsia="zh-CN"/>
              </w:rPr>
              <w:t>。</w:t>
            </w:r>
          </w:p>
        </w:tc>
        <w:tc>
          <w:tcPr>
            <w:tcW w:w="0" w:type="auto"/>
            <w:noWrap w:val="0"/>
            <w:vAlign w:val="center"/>
          </w:tcPr>
          <w:p w14:paraId="706A72AC">
            <w:pPr>
              <w:spacing w:line="360" w:lineRule="auto"/>
              <w:rPr>
                <w:rFonts w:hint="eastAsia"/>
                <w:color w:val="auto"/>
                <w:sz w:val="24"/>
                <w:szCs w:val="24"/>
                <w:highlight w:val="none"/>
              </w:rPr>
            </w:pPr>
          </w:p>
        </w:tc>
      </w:tr>
      <w:tr w14:paraId="104E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ABBD3A5">
            <w:pPr>
              <w:spacing w:line="360" w:lineRule="auto"/>
              <w:jc w:val="center"/>
              <w:rPr>
                <w:rFonts w:hint="eastAsia"/>
                <w:color w:val="auto"/>
                <w:sz w:val="24"/>
                <w:szCs w:val="24"/>
                <w:highlight w:val="none"/>
              </w:rPr>
            </w:pPr>
            <w:r>
              <w:rPr>
                <w:rFonts w:hint="eastAsia"/>
                <w:color w:val="auto"/>
                <w:sz w:val="24"/>
                <w:szCs w:val="24"/>
                <w:highlight w:val="none"/>
              </w:rPr>
              <w:t>5</w:t>
            </w:r>
          </w:p>
        </w:tc>
        <w:tc>
          <w:tcPr>
            <w:tcW w:w="0" w:type="auto"/>
            <w:noWrap w:val="0"/>
            <w:vAlign w:val="center"/>
          </w:tcPr>
          <w:p w14:paraId="77F0E3AD">
            <w:pPr>
              <w:spacing w:line="360" w:lineRule="auto"/>
              <w:rPr>
                <w:rFonts w:hint="eastAsia"/>
                <w:color w:val="auto"/>
                <w:sz w:val="24"/>
                <w:szCs w:val="24"/>
                <w:highlight w:val="none"/>
              </w:rPr>
            </w:pPr>
            <w:r>
              <w:rPr>
                <w:rFonts w:hint="eastAsia"/>
                <w:color w:val="auto"/>
                <w:sz w:val="24"/>
                <w:szCs w:val="24"/>
                <w:highlight w:val="none"/>
              </w:rPr>
              <w:t>无故不参加</w:t>
            </w:r>
            <w:r>
              <w:rPr>
                <w:rFonts w:hint="eastAsia" w:eastAsia="宋体"/>
                <w:color w:val="auto"/>
                <w:sz w:val="24"/>
                <w:szCs w:val="24"/>
                <w:highlight w:val="none"/>
                <w:lang w:val="en-US" w:eastAsia="zh-CN"/>
              </w:rPr>
              <w:t>甲方</w:t>
            </w:r>
            <w:r>
              <w:rPr>
                <w:rFonts w:hint="eastAsia"/>
                <w:color w:val="auto"/>
                <w:sz w:val="24"/>
                <w:szCs w:val="24"/>
                <w:highlight w:val="none"/>
              </w:rPr>
              <w:t>或</w:t>
            </w:r>
            <w:r>
              <w:rPr>
                <w:rFonts w:hint="eastAsia" w:eastAsia="宋体"/>
                <w:color w:val="auto"/>
                <w:sz w:val="24"/>
                <w:szCs w:val="24"/>
                <w:highlight w:val="none"/>
                <w:lang w:val="en-US" w:eastAsia="zh-CN"/>
              </w:rPr>
              <w:t>乙方</w:t>
            </w:r>
            <w:r>
              <w:rPr>
                <w:rFonts w:hint="eastAsia"/>
                <w:color w:val="auto"/>
                <w:sz w:val="24"/>
                <w:szCs w:val="24"/>
                <w:highlight w:val="none"/>
              </w:rPr>
              <w:t>组织的相关培训学习、会议的</w:t>
            </w:r>
          </w:p>
        </w:tc>
        <w:tc>
          <w:tcPr>
            <w:tcW w:w="0" w:type="auto"/>
            <w:noWrap w:val="0"/>
            <w:vAlign w:val="center"/>
          </w:tcPr>
          <w:p w14:paraId="10E4533C">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0588DE7F">
            <w:pPr>
              <w:spacing w:line="360" w:lineRule="auto"/>
              <w:rPr>
                <w:rFonts w:hint="eastAsia"/>
                <w:color w:val="auto"/>
                <w:sz w:val="24"/>
                <w:szCs w:val="24"/>
                <w:highlight w:val="none"/>
              </w:rPr>
            </w:pPr>
          </w:p>
        </w:tc>
      </w:tr>
      <w:tr w14:paraId="481C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0D5A802D">
            <w:pPr>
              <w:spacing w:line="360" w:lineRule="auto"/>
              <w:jc w:val="center"/>
              <w:rPr>
                <w:rFonts w:hint="eastAsia"/>
                <w:color w:val="auto"/>
                <w:sz w:val="24"/>
                <w:szCs w:val="24"/>
                <w:highlight w:val="none"/>
              </w:rPr>
            </w:pPr>
            <w:r>
              <w:rPr>
                <w:rFonts w:hint="eastAsia"/>
                <w:color w:val="auto"/>
                <w:sz w:val="24"/>
                <w:szCs w:val="24"/>
                <w:highlight w:val="none"/>
              </w:rPr>
              <w:t>6</w:t>
            </w:r>
          </w:p>
        </w:tc>
        <w:tc>
          <w:tcPr>
            <w:tcW w:w="0" w:type="auto"/>
            <w:noWrap w:val="0"/>
            <w:vAlign w:val="center"/>
          </w:tcPr>
          <w:p w14:paraId="5DC928F9">
            <w:pPr>
              <w:spacing w:line="360" w:lineRule="auto"/>
              <w:rPr>
                <w:rFonts w:hint="eastAsia"/>
                <w:color w:val="auto"/>
                <w:sz w:val="24"/>
                <w:szCs w:val="24"/>
                <w:highlight w:val="none"/>
              </w:rPr>
            </w:pPr>
            <w:r>
              <w:rPr>
                <w:rFonts w:hint="eastAsia"/>
                <w:color w:val="auto"/>
                <w:sz w:val="24"/>
                <w:szCs w:val="24"/>
                <w:highlight w:val="none"/>
              </w:rPr>
              <w:t>违反培训、学习、会议纪律，有如交头接耳、玩手机、睡觉等不良行为</w:t>
            </w:r>
          </w:p>
        </w:tc>
        <w:tc>
          <w:tcPr>
            <w:tcW w:w="0" w:type="auto"/>
            <w:noWrap w:val="0"/>
            <w:vAlign w:val="center"/>
          </w:tcPr>
          <w:p w14:paraId="6C444FF5">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0.2分，每天上限扣2分</w:t>
            </w:r>
            <w:r>
              <w:rPr>
                <w:rFonts w:hint="eastAsia" w:eastAsia="宋体"/>
                <w:color w:val="auto"/>
                <w:sz w:val="24"/>
                <w:szCs w:val="24"/>
                <w:highlight w:val="none"/>
                <w:lang w:eastAsia="zh-CN"/>
              </w:rPr>
              <w:t>。</w:t>
            </w:r>
          </w:p>
        </w:tc>
        <w:tc>
          <w:tcPr>
            <w:tcW w:w="0" w:type="auto"/>
            <w:noWrap w:val="0"/>
            <w:vAlign w:val="center"/>
          </w:tcPr>
          <w:p w14:paraId="5A004553">
            <w:pPr>
              <w:spacing w:line="360" w:lineRule="auto"/>
              <w:rPr>
                <w:rFonts w:hint="eastAsia"/>
                <w:color w:val="auto"/>
                <w:sz w:val="24"/>
                <w:szCs w:val="24"/>
                <w:highlight w:val="none"/>
              </w:rPr>
            </w:pPr>
          </w:p>
        </w:tc>
      </w:tr>
      <w:tr w14:paraId="4767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9BA0CE3">
            <w:pPr>
              <w:spacing w:line="360" w:lineRule="auto"/>
              <w:jc w:val="center"/>
              <w:rPr>
                <w:rFonts w:hint="eastAsia"/>
                <w:color w:val="auto"/>
                <w:sz w:val="24"/>
                <w:szCs w:val="24"/>
                <w:highlight w:val="none"/>
              </w:rPr>
            </w:pPr>
            <w:r>
              <w:rPr>
                <w:rFonts w:hint="eastAsia"/>
                <w:color w:val="auto"/>
                <w:sz w:val="24"/>
                <w:szCs w:val="24"/>
                <w:highlight w:val="none"/>
              </w:rPr>
              <w:t>7</w:t>
            </w:r>
          </w:p>
        </w:tc>
        <w:tc>
          <w:tcPr>
            <w:tcW w:w="0" w:type="auto"/>
            <w:noWrap w:val="0"/>
            <w:vAlign w:val="center"/>
          </w:tcPr>
          <w:p w14:paraId="461B4BDB">
            <w:pPr>
              <w:spacing w:line="360" w:lineRule="auto"/>
              <w:rPr>
                <w:rFonts w:hint="eastAsia"/>
                <w:color w:val="auto"/>
                <w:sz w:val="24"/>
                <w:szCs w:val="24"/>
                <w:highlight w:val="none"/>
              </w:rPr>
            </w:pPr>
            <w:r>
              <w:rPr>
                <w:rFonts w:hint="eastAsia"/>
                <w:color w:val="auto"/>
                <w:sz w:val="24"/>
                <w:szCs w:val="24"/>
                <w:highlight w:val="none"/>
              </w:rPr>
              <w:t>培训、学习考试不合格，补考后仍不合格的</w:t>
            </w:r>
          </w:p>
        </w:tc>
        <w:tc>
          <w:tcPr>
            <w:tcW w:w="0" w:type="auto"/>
            <w:noWrap w:val="0"/>
            <w:vAlign w:val="center"/>
          </w:tcPr>
          <w:p w14:paraId="52D7E391">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17580773">
            <w:pPr>
              <w:spacing w:line="360" w:lineRule="auto"/>
              <w:rPr>
                <w:rFonts w:hint="eastAsia"/>
                <w:color w:val="auto"/>
                <w:sz w:val="24"/>
                <w:szCs w:val="24"/>
                <w:highlight w:val="none"/>
              </w:rPr>
            </w:pPr>
          </w:p>
        </w:tc>
      </w:tr>
      <w:tr w14:paraId="756C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01E97273">
            <w:pPr>
              <w:spacing w:line="360" w:lineRule="auto"/>
              <w:jc w:val="center"/>
              <w:rPr>
                <w:rFonts w:hint="eastAsia"/>
                <w:color w:val="auto"/>
                <w:sz w:val="24"/>
                <w:szCs w:val="24"/>
                <w:highlight w:val="none"/>
              </w:rPr>
            </w:pPr>
            <w:r>
              <w:rPr>
                <w:rFonts w:hint="eastAsia"/>
                <w:color w:val="auto"/>
                <w:sz w:val="24"/>
                <w:szCs w:val="24"/>
                <w:highlight w:val="none"/>
              </w:rPr>
              <w:t>8</w:t>
            </w:r>
          </w:p>
        </w:tc>
        <w:tc>
          <w:tcPr>
            <w:tcW w:w="0" w:type="auto"/>
            <w:noWrap w:val="0"/>
            <w:vAlign w:val="center"/>
          </w:tcPr>
          <w:p w14:paraId="702D6F6B">
            <w:pPr>
              <w:spacing w:line="360" w:lineRule="auto"/>
              <w:rPr>
                <w:rFonts w:hint="eastAsia"/>
                <w:color w:val="auto"/>
                <w:sz w:val="24"/>
                <w:szCs w:val="24"/>
                <w:highlight w:val="none"/>
              </w:rPr>
            </w:pPr>
            <w:r>
              <w:rPr>
                <w:rFonts w:hint="eastAsia"/>
                <w:color w:val="auto"/>
                <w:sz w:val="24"/>
                <w:szCs w:val="24"/>
                <w:highlight w:val="none"/>
              </w:rPr>
              <w:t>警容风纪检查时，装备不齐、衣冠不整、仪容不整洁等的</w:t>
            </w:r>
          </w:p>
        </w:tc>
        <w:tc>
          <w:tcPr>
            <w:tcW w:w="0" w:type="auto"/>
            <w:noWrap w:val="0"/>
            <w:vAlign w:val="center"/>
          </w:tcPr>
          <w:p w14:paraId="7527DBBC">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60522C1A">
            <w:pPr>
              <w:spacing w:line="360" w:lineRule="auto"/>
              <w:rPr>
                <w:rFonts w:hint="eastAsia"/>
                <w:color w:val="auto"/>
                <w:sz w:val="24"/>
                <w:szCs w:val="24"/>
                <w:highlight w:val="none"/>
              </w:rPr>
            </w:pPr>
          </w:p>
        </w:tc>
      </w:tr>
      <w:tr w14:paraId="044B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56A67FAA">
            <w:pPr>
              <w:spacing w:line="360" w:lineRule="auto"/>
              <w:jc w:val="center"/>
              <w:rPr>
                <w:rFonts w:hint="eastAsia"/>
                <w:color w:val="auto"/>
                <w:sz w:val="24"/>
                <w:szCs w:val="24"/>
                <w:highlight w:val="none"/>
              </w:rPr>
            </w:pPr>
            <w:r>
              <w:rPr>
                <w:rFonts w:hint="eastAsia"/>
                <w:color w:val="auto"/>
                <w:sz w:val="24"/>
                <w:szCs w:val="24"/>
                <w:highlight w:val="none"/>
              </w:rPr>
              <w:t>9</w:t>
            </w:r>
          </w:p>
        </w:tc>
        <w:tc>
          <w:tcPr>
            <w:tcW w:w="0" w:type="auto"/>
            <w:noWrap w:val="0"/>
            <w:vAlign w:val="center"/>
          </w:tcPr>
          <w:p w14:paraId="759D344D">
            <w:pPr>
              <w:spacing w:line="360" w:lineRule="auto"/>
              <w:rPr>
                <w:rFonts w:hint="eastAsia"/>
                <w:color w:val="auto"/>
                <w:sz w:val="24"/>
                <w:szCs w:val="24"/>
                <w:highlight w:val="none"/>
              </w:rPr>
            </w:pPr>
            <w:r>
              <w:rPr>
                <w:rFonts w:hint="eastAsia"/>
                <w:color w:val="auto"/>
                <w:sz w:val="24"/>
                <w:szCs w:val="24"/>
                <w:highlight w:val="none"/>
              </w:rPr>
              <w:t>上班时间进行娱乐活动的（如玩手机或电脑游戏、看电视等）</w:t>
            </w:r>
          </w:p>
        </w:tc>
        <w:tc>
          <w:tcPr>
            <w:tcW w:w="0" w:type="auto"/>
            <w:noWrap w:val="0"/>
            <w:vAlign w:val="center"/>
          </w:tcPr>
          <w:p w14:paraId="410E121E">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0.5分，每天上限扣5分</w:t>
            </w:r>
            <w:r>
              <w:rPr>
                <w:rFonts w:hint="eastAsia" w:eastAsia="宋体"/>
                <w:color w:val="auto"/>
                <w:sz w:val="24"/>
                <w:szCs w:val="24"/>
                <w:highlight w:val="none"/>
                <w:lang w:eastAsia="zh-CN"/>
              </w:rPr>
              <w:t>。</w:t>
            </w:r>
          </w:p>
        </w:tc>
        <w:tc>
          <w:tcPr>
            <w:tcW w:w="0" w:type="auto"/>
            <w:noWrap w:val="0"/>
            <w:vAlign w:val="center"/>
          </w:tcPr>
          <w:p w14:paraId="571A52E6">
            <w:pPr>
              <w:spacing w:line="360" w:lineRule="auto"/>
              <w:rPr>
                <w:rFonts w:hint="eastAsia"/>
                <w:color w:val="auto"/>
                <w:sz w:val="24"/>
                <w:szCs w:val="24"/>
                <w:highlight w:val="none"/>
              </w:rPr>
            </w:pPr>
          </w:p>
        </w:tc>
      </w:tr>
      <w:tr w14:paraId="1F52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B595DAC">
            <w:pPr>
              <w:spacing w:line="360" w:lineRule="auto"/>
              <w:jc w:val="center"/>
              <w:rPr>
                <w:rFonts w:hint="eastAsia"/>
                <w:color w:val="auto"/>
                <w:sz w:val="24"/>
                <w:szCs w:val="24"/>
                <w:highlight w:val="none"/>
              </w:rPr>
            </w:pPr>
            <w:r>
              <w:rPr>
                <w:rFonts w:hint="eastAsia"/>
                <w:color w:val="auto"/>
                <w:sz w:val="24"/>
                <w:szCs w:val="24"/>
                <w:highlight w:val="none"/>
              </w:rPr>
              <w:t>10</w:t>
            </w:r>
          </w:p>
        </w:tc>
        <w:tc>
          <w:tcPr>
            <w:tcW w:w="0" w:type="auto"/>
            <w:noWrap w:val="0"/>
            <w:vAlign w:val="center"/>
          </w:tcPr>
          <w:p w14:paraId="4A84C011">
            <w:pPr>
              <w:spacing w:line="360" w:lineRule="auto"/>
              <w:rPr>
                <w:rFonts w:hint="eastAsia"/>
                <w:color w:val="auto"/>
                <w:sz w:val="24"/>
                <w:szCs w:val="24"/>
                <w:highlight w:val="none"/>
              </w:rPr>
            </w:pPr>
            <w:r>
              <w:rPr>
                <w:rFonts w:hint="eastAsia"/>
                <w:color w:val="auto"/>
                <w:sz w:val="24"/>
                <w:szCs w:val="24"/>
                <w:highlight w:val="none"/>
              </w:rPr>
              <w:t>无故不接听工作电话，对工作造成影响的</w:t>
            </w:r>
          </w:p>
        </w:tc>
        <w:tc>
          <w:tcPr>
            <w:tcW w:w="0" w:type="auto"/>
            <w:noWrap w:val="0"/>
            <w:vAlign w:val="center"/>
          </w:tcPr>
          <w:p w14:paraId="4F758249">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0.5分；情节严重的，每人每次扣 1分，每天上限扣5分</w:t>
            </w:r>
            <w:r>
              <w:rPr>
                <w:rFonts w:hint="eastAsia" w:eastAsia="宋体"/>
                <w:color w:val="auto"/>
                <w:sz w:val="24"/>
                <w:szCs w:val="24"/>
                <w:highlight w:val="none"/>
                <w:lang w:eastAsia="zh-CN"/>
              </w:rPr>
              <w:t>。</w:t>
            </w:r>
          </w:p>
        </w:tc>
        <w:tc>
          <w:tcPr>
            <w:tcW w:w="0" w:type="auto"/>
            <w:noWrap w:val="0"/>
            <w:vAlign w:val="center"/>
          </w:tcPr>
          <w:p w14:paraId="192FCAC7">
            <w:pPr>
              <w:spacing w:line="360" w:lineRule="auto"/>
              <w:rPr>
                <w:rFonts w:hint="eastAsia"/>
                <w:color w:val="auto"/>
                <w:sz w:val="24"/>
                <w:szCs w:val="24"/>
                <w:highlight w:val="none"/>
              </w:rPr>
            </w:pPr>
          </w:p>
        </w:tc>
      </w:tr>
      <w:tr w14:paraId="5D0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0FCB607">
            <w:pPr>
              <w:spacing w:line="360" w:lineRule="auto"/>
              <w:jc w:val="center"/>
              <w:rPr>
                <w:rFonts w:hint="eastAsia"/>
                <w:color w:val="auto"/>
                <w:sz w:val="24"/>
                <w:szCs w:val="24"/>
                <w:highlight w:val="none"/>
              </w:rPr>
            </w:pPr>
            <w:r>
              <w:rPr>
                <w:rFonts w:hint="eastAsia"/>
                <w:color w:val="auto"/>
                <w:sz w:val="24"/>
                <w:szCs w:val="24"/>
                <w:highlight w:val="none"/>
              </w:rPr>
              <w:t>11</w:t>
            </w:r>
          </w:p>
        </w:tc>
        <w:tc>
          <w:tcPr>
            <w:tcW w:w="0" w:type="auto"/>
            <w:noWrap w:val="0"/>
            <w:vAlign w:val="center"/>
          </w:tcPr>
          <w:p w14:paraId="31FB0A0A">
            <w:pPr>
              <w:spacing w:line="360" w:lineRule="auto"/>
              <w:rPr>
                <w:rFonts w:hint="eastAsia"/>
                <w:color w:val="auto"/>
                <w:sz w:val="24"/>
                <w:szCs w:val="24"/>
                <w:highlight w:val="none"/>
              </w:rPr>
            </w:pPr>
            <w:r>
              <w:rPr>
                <w:rFonts w:hint="eastAsia"/>
                <w:color w:val="auto"/>
                <w:sz w:val="24"/>
                <w:szCs w:val="24"/>
                <w:highlight w:val="none"/>
              </w:rPr>
              <w:t>诽谤、诬告他人，挑拨离间，拉帮结派，或滋事生非，打架闹事，影响团结</w:t>
            </w:r>
          </w:p>
        </w:tc>
        <w:tc>
          <w:tcPr>
            <w:tcW w:w="0" w:type="auto"/>
            <w:noWrap w:val="0"/>
            <w:vAlign w:val="center"/>
          </w:tcPr>
          <w:p w14:paraId="420C758F">
            <w:pPr>
              <w:spacing w:line="360" w:lineRule="auto"/>
              <w:rPr>
                <w:rFonts w:hint="eastAsia" w:eastAsia="宋体"/>
                <w:color w:val="auto"/>
                <w:sz w:val="24"/>
                <w:szCs w:val="24"/>
                <w:highlight w:val="none"/>
                <w:lang w:eastAsia="zh-CN"/>
              </w:rPr>
            </w:pPr>
            <w:r>
              <w:rPr>
                <w:rFonts w:hint="eastAsia"/>
                <w:color w:val="auto"/>
                <w:sz w:val="24"/>
                <w:szCs w:val="24"/>
                <w:highlight w:val="none"/>
              </w:rPr>
              <w:t>未造成恶劣影响的，每人每次扣0.5分；造成恶劣影响的，每人每次扣1分。每天上限5分</w:t>
            </w:r>
            <w:r>
              <w:rPr>
                <w:rFonts w:hint="eastAsia" w:eastAsia="宋体"/>
                <w:color w:val="auto"/>
                <w:sz w:val="24"/>
                <w:szCs w:val="24"/>
                <w:highlight w:val="none"/>
                <w:lang w:eastAsia="zh-CN"/>
              </w:rPr>
              <w:t>。</w:t>
            </w:r>
          </w:p>
        </w:tc>
        <w:tc>
          <w:tcPr>
            <w:tcW w:w="0" w:type="auto"/>
            <w:noWrap w:val="0"/>
            <w:vAlign w:val="center"/>
          </w:tcPr>
          <w:p w14:paraId="5F8BA0B2">
            <w:pPr>
              <w:spacing w:line="360" w:lineRule="auto"/>
              <w:rPr>
                <w:rFonts w:hint="eastAsia"/>
                <w:color w:val="auto"/>
                <w:sz w:val="24"/>
                <w:szCs w:val="24"/>
                <w:highlight w:val="none"/>
              </w:rPr>
            </w:pPr>
          </w:p>
        </w:tc>
      </w:tr>
      <w:tr w14:paraId="2B7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noWrap w:val="0"/>
            <w:vAlign w:val="center"/>
          </w:tcPr>
          <w:p w14:paraId="311BD07B">
            <w:pPr>
              <w:spacing w:line="360" w:lineRule="auto"/>
              <w:jc w:val="center"/>
              <w:rPr>
                <w:rFonts w:hint="eastAsia"/>
                <w:color w:val="auto"/>
                <w:sz w:val="24"/>
                <w:szCs w:val="24"/>
                <w:highlight w:val="none"/>
              </w:rPr>
            </w:pPr>
            <w:r>
              <w:rPr>
                <w:rFonts w:hint="eastAsia"/>
                <w:color w:val="auto"/>
                <w:sz w:val="24"/>
                <w:szCs w:val="24"/>
                <w:highlight w:val="none"/>
              </w:rPr>
              <w:t>12</w:t>
            </w:r>
          </w:p>
        </w:tc>
        <w:tc>
          <w:tcPr>
            <w:tcW w:w="0" w:type="auto"/>
            <w:noWrap w:val="0"/>
            <w:vAlign w:val="center"/>
          </w:tcPr>
          <w:p w14:paraId="3644F080">
            <w:pPr>
              <w:spacing w:line="360" w:lineRule="auto"/>
              <w:rPr>
                <w:rFonts w:hint="eastAsia"/>
                <w:color w:val="auto"/>
                <w:sz w:val="24"/>
                <w:szCs w:val="24"/>
                <w:highlight w:val="none"/>
              </w:rPr>
            </w:pPr>
            <w:r>
              <w:rPr>
                <w:rFonts w:hint="eastAsia"/>
                <w:color w:val="auto"/>
                <w:sz w:val="24"/>
                <w:szCs w:val="24"/>
                <w:highlight w:val="none"/>
              </w:rPr>
              <w:t>被群众投诉工作违规，经查证属实的</w:t>
            </w:r>
          </w:p>
        </w:tc>
        <w:tc>
          <w:tcPr>
            <w:tcW w:w="0" w:type="auto"/>
            <w:noWrap w:val="0"/>
            <w:vAlign w:val="center"/>
          </w:tcPr>
          <w:p w14:paraId="36EA287E">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1分，每天上限扣5分</w:t>
            </w:r>
            <w:r>
              <w:rPr>
                <w:rFonts w:hint="eastAsia" w:eastAsia="宋体"/>
                <w:color w:val="auto"/>
                <w:sz w:val="24"/>
                <w:szCs w:val="24"/>
                <w:highlight w:val="none"/>
                <w:lang w:eastAsia="zh-CN"/>
              </w:rPr>
              <w:t>。</w:t>
            </w:r>
          </w:p>
        </w:tc>
        <w:tc>
          <w:tcPr>
            <w:tcW w:w="0" w:type="auto"/>
            <w:noWrap w:val="0"/>
            <w:vAlign w:val="center"/>
          </w:tcPr>
          <w:p w14:paraId="079F766E">
            <w:pPr>
              <w:spacing w:line="360" w:lineRule="auto"/>
              <w:rPr>
                <w:rFonts w:hint="eastAsia"/>
                <w:color w:val="auto"/>
                <w:sz w:val="24"/>
                <w:szCs w:val="24"/>
                <w:highlight w:val="none"/>
              </w:rPr>
            </w:pPr>
          </w:p>
        </w:tc>
      </w:tr>
      <w:tr w14:paraId="4B2E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E2D40B3">
            <w:pPr>
              <w:spacing w:line="360" w:lineRule="auto"/>
              <w:jc w:val="center"/>
              <w:rPr>
                <w:rFonts w:hint="eastAsia"/>
                <w:color w:val="auto"/>
                <w:sz w:val="24"/>
                <w:szCs w:val="24"/>
                <w:highlight w:val="none"/>
              </w:rPr>
            </w:pPr>
            <w:r>
              <w:rPr>
                <w:rFonts w:hint="eastAsia"/>
                <w:color w:val="auto"/>
                <w:sz w:val="24"/>
                <w:szCs w:val="24"/>
                <w:highlight w:val="none"/>
              </w:rPr>
              <w:t>13</w:t>
            </w:r>
          </w:p>
        </w:tc>
        <w:tc>
          <w:tcPr>
            <w:tcW w:w="0" w:type="auto"/>
            <w:noWrap w:val="0"/>
            <w:vAlign w:val="center"/>
          </w:tcPr>
          <w:p w14:paraId="78555310">
            <w:pPr>
              <w:spacing w:line="360" w:lineRule="auto"/>
              <w:rPr>
                <w:rFonts w:hint="eastAsia"/>
                <w:color w:val="auto"/>
                <w:sz w:val="24"/>
                <w:szCs w:val="24"/>
                <w:highlight w:val="none"/>
              </w:rPr>
            </w:pPr>
            <w:r>
              <w:rPr>
                <w:rFonts w:hint="eastAsia"/>
                <w:color w:val="auto"/>
                <w:sz w:val="24"/>
                <w:szCs w:val="24"/>
                <w:highlight w:val="none"/>
              </w:rPr>
              <w:t>违反相关规定，违反公安纪律，被人投诉，经查属实的</w:t>
            </w:r>
          </w:p>
        </w:tc>
        <w:tc>
          <w:tcPr>
            <w:tcW w:w="0" w:type="auto"/>
            <w:noWrap w:val="0"/>
            <w:vAlign w:val="center"/>
          </w:tcPr>
          <w:p w14:paraId="5B68FF18">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2分；情节严重的，扣 5分或予以辞退，每天上限扣10分</w:t>
            </w:r>
            <w:r>
              <w:rPr>
                <w:rFonts w:hint="eastAsia" w:eastAsia="宋体"/>
                <w:color w:val="auto"/>
                <w:sz w:val="24"/>
                <w:szCs w:val="24"/>
                <w:highlight w:val="none"/>
                <w:lang w:eastAsia="zh-CN"/>
              </w:rPr>
              <w:t>。</w:t>
            </w:r>
          </w:p>
        </w:tc>
        <w:tc>
          <w:tcPr>
            <w:tcW w:w="0" w:type="auto"/>
            <w:noWrap w:val="0"/>
            <w:vAlign w:val="center"/>
          </w:tcPr>
          <w:p w14:paraId="48F44BD1">
            <w:pPr>
              <w:spacing w:line="360" w:lineRule="auto"/>
              <w:rPr>
                <w:rFonts w:hint="eastAsia"/>
                <w:color w:val="auto"/>
                <w:sz w:val="24"/>
                <w:szCs w:val="24"/>
                <w:highlight w:val="none"/>
              </w:rPr>
            </w:pPr>
          </w:p>
        </w:tc>
      </w:tr>
      <w:tr w14:paraId="32D3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13B46B8">
            <w:pPr>
              <w:spacing w:line="360" w:lineRule="auto"/>
              <w:jc w:val="center"/>
              <w:rPr>
                <w:rFonts w:hint="eastAsia"/>
                <w:color w:val="auto"/>
                <w:sz w:val="24"/>
                <w:szCs w:val="24"/>
                <w:highlight w:val="none"/>
              </w:rPr>
            </w:pPr>
            <w:r>
              <w:rPr>
                <w:rFonts w:hint="eastAsia"/>
                <w:color w:val="auto"/>
                <w:sz w:val="24"/>
                <w:szCs w:val="24"/>
                <w:highlight w:val="none"/>
              </w:rPr>
              <w:t>14</w:t>
            </w:r>
          </w:p>
        </w:tc>
        <w:tc>
          <w:tcPr>
            <w:tcW w:w="0" w:type="auto"/>
            <w:noWrap w:val="0"/>
            <w:vAlign w:val="center"/>
          </w:tcPr>
          <w:p w14:paraId="039D9184">
            <w:pPr>
              <w:spacing w:line="360" w:lineRule="auto"/>
              <w:rPr>
                <w:rFonts w:hint="eastAsia"/>
                <w:color w:val="auto"/>
                <w:sz w:val="24"/>
                <w:szCs w:val="24"/>
                <w:highlight w:val="none"/>
              </w:rPr>
            </w:pPr>
            <w:r>
              <w:rPr>
                <w:rFonts w:hint="eastAsia"/>
                <w:color w:val="auto"/>
                <w:sz w:val="24"/>
                <w:szCs w:val="24"/>
                <w:highlight w:val="none"/>
              </w:rPr>
              <w:t>工作态度消极，出勤不出力，遇事推诿或弄虚作假，</w:t>
            </w:r>
            <w:r>
              <w:rPr>
                <w:rFonts w:hint="eastAsia"/>
                <w:color w:val="auto"/>
                <w:spacing w:val="-6"/>
                <w:sz w:val="24"/>
                <w:szCs w:val="24"/>
                <w:highlight w:val="none"/>
              </w:rPr>
              <w:t>欺下瞒上，未造成恶劣影响的</w:t>
            </w:r>
          </w:p>
        </w:tc>
        <w:tc>
          <w:tcPr>
            <w:tcW w:w="0" w:type="auto"/>
            <w:noWrap w:val="0"/>
            <w:vAlign w:val="center"/>
          </w:tcPr>
          <w:p w14:paraId="2AFBCD15">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1分，每天上限扣10分</w:t>
            </w:r>
            <w:r>
              <w:rPr>
                <w:rFonts w:hint="eastAsia" w:eastAsia="宋体"/>
                <w:color w:val="auto"/>
                <w:sz w:val="24"/>
                <w:szCs w:val="24"/>
                <w:highlight w:val="none"/>
                <w:lang w:eastAsia="zh-CN"/>
              </w:rPr>
              <w:t>。</w:t>
            </w:r>
          </w:p>
        </w:tc>
        <w:tc>
          <w:tcPr>
            <w:tcW w:w="0" w:type="auto"/>
            <w:noWrap w:val="0"/>
            <w:vAlign w:val="center"/>
          </w:tcPr>
          <w:p w14:paraId="7DAE9737">
            <w:pPr>
              <w:spacing w:line="360" w:lineRule="auto"/>
              <w:rPr>
                <w:rFonts w:hint="eastAsia"/>
                <w:color w:val="auto"/>
                <w:sz w:val="24"/>
                <w:szCs w:val="24"/>
                <w:highlight w:val="none"/>
              </w:rPr>
            </w:pPr>
          </w:p>
        </w:tc>
      </w:tr>
      <w:tr w14:paraId="5AA1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7E835BAC">
            <w:pPr>
              <w:spacing w:line="360" w:lineRule="auto"/>
              <w:jc w:val="center"/>
              <w:rPr>
                <w:rFonts w:hint="eastAsia"/>
                <w:color w:val="auto"/>
                <w:sz w:val="24"/>
                <w:szCs w:val="24"/>
                <w:highlight w:val="none"/>
              </w:rPr>
            </w:pPr>
            <w:r>
              <w:rPr>
                <w:rFonts w:hint="eastAsia"/>
                <w:color w:val="auto"/>
                <w:sz w:val="24"/>
                <w:szCs w:val="24"/>
                <w:highlight w:val="none"/>
              </w:rPr>
              <w:t>15</w:t>
            </w:r>
          </w:p>
        </w:tc>
        <w:tc>
          <w:tcPr>
            <w:tcW w:w="0" w:type="auto"/>
            <w:noWrap w:val="0"/>
            <w:vAlign w:val="center"/>
          </w:tcPr>
          <w:p w14:paraId="6C77A6F6">
            <w:pPr>
              <w:spacing w:line="360" w:lineRule="auto"/>
              <w:rPr>
                <w:rFonts w:hint="eastAsia"/>
                <w:color w:val="auto"/>
                <w:sz w:val="24"/>
                <w:szCs w:val="24"/>
                <w:highlight w:val="none"/>
              </w:rPr>
            </w:pPr>
            <w:r>
              <w:rPr>
                <w:rFonts w:hint="eastAsia"/>
                <w:color w:val="auto"/>
                <w:sz w:val="24"/>
                <w:szCs w:val="24"/>
                <w:highlight w:val="none"/>
              </w:rPr>
              <w:t>不执行上级（含</w:t>
            </w:r>
            <w:r>
              <w:rPr>
                <w:rFonts w:hint="eastAsia" w:ascii="Calibri" w:eastAsia="宋体"/>
                <w:color w:val="auto"/>
                <w:sz w:val="24"/>
                <w:szCs w:val="24"/>
                <w:highlight w:val="none"/>
                <w:lang w:val="en-US" w:eastAsia="zh-CN"/>
              </w:rPr>
              <w:t>甲方</w:t>
            </w:r>
            <w:r>
              <w:rPr>
                <w:rFonts w:hint="eastAsia"/>
                <w:color w:val="auto"/>
                <w:sz w:val="24"/>
                <w:szCs w:val="24"/>
                <w:highlight w:val="none"/>
              </w:rPr>
              <w:t>）的决定和命令，不服从工作安排的</w:t>
            </w:r>
          </w:p>
        </w:tc>
        <w:tc>
          <w:tcPr>
            <w:tcW w:w="0" w:type="auto"/>
            <w:noWrap w:val="0"/>
            <w:vAlign w:val="center"/>
          </w:tcPr>
          <w:p w14:paraId="6FE4A667">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每人每次扣2分，每天上限扣10分</w:t>
            </w:r>
            <w:r>
              <w:rPr>
                <w:rFonts w:hint="eastAsia" w:eastAsia="宋体"/>
                <w:color w:val="auto"/>
                <w:sz w:val="24"/>
                <w:szCs w:val="24"/>
                <w:highlight w:val="none"/>
                <w:lang w:eastAsia="zh-CN"/>
              </w:rPr>
              <w:t>。</w:t>
            </w:r>
          </w:p>
        </w:tc>
        <w:tc>
          <w:tcPr>
            <w:tcW w:w="0" w:type="auto"/>
            <w:noWrap w:val="0"/>
            <w:vAlign w:val="center"/>
          </w:tcPr>
          <w:p w14:paraId="220F6CCE">
            <w:pPr>
              <w:spacing w:line="360" w:lineRule="auto"/>
              <w:rPr>
                <w:rFonts w:hint="eastAsia"/>
                <w:color w:val="auto"/>
                <w:sz w:val="24"/>
                <w:szCs w:val="24"/>
                <w:highlight w:val="none"/>
              </w:rPr>
            </w:pPr>
          </w:p>
        </w:tc>
      </w:tr>
      <w:tr w14:paraId="2EB3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A824542">
            <w:pPr>
              <w:spacing w:line="360" w:lineRule="auto"/>
              <w:jc w:val="center"/>
              <w:rPr>
                <w:rFonts w:hint="eastAsia"/>
                <w:color w:val="auto"/>
                <w:sz w:val="24"/>
                <w:szCs w:val="24"/>
                <w:highlight w:val="none"/>
              </w:rPr>
            </w:pPr>
            <w:r>
              <w:rPr>
                <w:rFonts w:hint="eastAsia"/>
                <w:color w:val="auto"/>
                <w:sz w:val="24"/>
                <w:szCs w:val="24"/>
                <w:highlight w:val="none"/>
              </w:rPr>
              <w:t>16</w:t>
            </w:r>
          </w:p>
        </w:tc>
        <w:tc>
          <w:tcPr>
            <w:tcW w:w="0" w:type="auto"/>
            <w:noWrap w:val="0"/>
            <w:vAlign w:val="center"/>
          </w:tcPr>
          <w:p w14:paraId="4F474A81">
            <w:pPr>
              <w:spacing w:line="360" w:lineRule="auto"/>
              <w:rPr>
                <w:rFonts w:hint="eastAsia"/>
                <w:color w:val="auto"/>
                <w:sz w:val="24"/>
                <w:szCs w:val="24"/>
                <w:highlight w:val="none"/>
              </w:rPr>
            </w:pPr>
            <w:r>
              <w:rPr>
                <w:rFonts w:hint="eastAsia"/>
                <w:color w:val="auto"/>
                <w:sz w:val="24"/>
                <w:szCs w:val="24"/>
                <w:highlight w:val="none"/>
              </w:rPr>
              <w:t>其它违反工作纪律制度的行为</w:t>
            </w:r>
          </w:p>
        </w:tc>
        <w:tc>
          <w:tcPr>
            <w:tcW w:w="0" w:type="auto"/>
            <w:noWrap w:val="0"/>
            <w:vAlign w:val="center"/>
          </w:tcPr>
          <w:p w14:paraId="68130D74">
            <w:pPr>
              <w:spacing w:line="360" w:lineRule="auto"/>
              <w:rPr>
                <w:rFonts w:hint="eastAsia" w:eastAsia="宋体"/>
                <w:color w:val="auto"/>
                <w:sz w:val="24"/>
                <w:szCs w:val="24"/>
                <w:highlight w:val="none"/>
                <w:lang w:eastAsia="zh-CN"/>
              </w:rPr>
            </w:pPr>
            <w:r>
              <w:rPr>
                <w:rFonts w:hint="eastAsia"/>
                <w:color w:val="auto"/>
                <w:sz w:val="24"/>
                <w:szCs w:val="24"/>
                <w:highlight w:val="none"/>
              </w:rPr>
              <w:t>每人每次扣 1分；情节严重的，每人每次扣 2.5分，每天上限扣5分</w:t>
            </w:r>
            <w:r>
              <w:rPr>
                <w:rFonts w:hint="eastAsia" w:eastAsia="宋体"/>
                <w:color w:val="auto"/>
                <w:sz w:val="24"/>
                <w:szCs w:val="24"/>
                <w:highlight w:val="none"/>
                <w:lang w:eastAsia="zh-CN"/>
              </w:rPr>
              <w:t>。</w:t>
            </w:r>
          </w:p>
        </w:tc>
        <w:tc>
          <w:tcPr>
            <w:tcW w:w="0" w:type="auto"/>
            <w:noWrap w:val="0"/>
            <w:vAlign w:val="center"/>
          </w:tcPr>
          <w:p w14:paraId="42758A6A">
            <w:pPr>
              <w:spacing w:line="360" w:lineRule="auto"/>
              <w:rPr>
                <w:rFonts w:hint="eastAsia"/>
                <w:color w:val="auto"/>
                <w:sz w:val="24"/>
                <w:szCs w:val="24"/>
                <w:highlight w:val="none"/>
              </w:rPr>
            </w:pPr>
          </w:p>
        </w:tc>
      </w:tr>
      <w:tr w14:paraId="0A42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noWrap w:val="0"/>
            <w:vAlign w:val="center"/>
          </w:tcPr>
          <w:p w14:paraId="0605700F">
            <w:pPr>
              <w:spacing w:line="360" w:lineRule="auto"/>
              <w:jc w:val="center"/>
              <w:rPr>
                <w:rFonts w:hint="eastAsia" w:eastAsia="宋体"/>
                <w:color w:val="auto"/>
                <w:sz w:val="24"/>
                <w:szCs w:val="24"/>
                <w:highlight w:val="none"/>
                <w:lang w:val="en-US" w:eastAsia="zh-CN"/>
              </w:rPr>
            </w:pPr>
            <w:r>
              <w:rPr>
                <w:rFonts w:hint="eastAsia" w:ascii="Calibri" w:eastAsia="宋体"/>
                <w:color w:val="auto"/>
                <w:sz w:val="24"/>
                <w:szCs w:val="24"/>
                <w:highlight w:val="none"/>
                <w:lang w:val="en-US" w:eastAsia="zh-CN"/>
              </w:rPr>
              <w:t>17</w:t>
            </w:r>
          </w:p>
        </w:tc>
        <w:tc>
          <w:tcPr>
            <w:tcW w:w="0" w:type="auto"/>
            <w:noWrap w:val="0"/>
            <w:vAlign w:val="center"/>
          </w:tcPr>
          <w:p w14:paraId="5E013452">
            <w:pPr>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对于</w:t>
            </w:r>
            <w:r>
              <w:rPr>
                <w:rFonts w:hint="eastAsia" w:ascii="Calibri" w:eastAsia="宋体"/>
                <w:color w:val="auto"/>
                <w:sz w:val="24"/>
                <w:szCs w:val="24"/>
                <w:highlight w:val="none"/>
                <w:lang w:val="en-US" w:eastAsia="zh-CN"/>
              </w:rPr>
              <w:t>甲方</w:t>
            </w:r>
            <w:r>
              <w:rPr>
                <w:rFonts w:hint="eastAsia" w:eastAsia="宋体"/>
                <w:color w:val="auto"/>
                <w:sz w:val="24"/>
                <w:szCs w:val="24"/>
                <w:highlight w:val="none"/>
                <w:lang w:eastAsia="zh-CN"/>
              </w:rPr>
              <w:t>在项目服务范围内提出的服务要求和工作要求，</w:t>
            </w:r>
            <w:r>
              <w:rPr>
                <w:rFonts w:hint="eastAsia" w:ascii="Calibri" w:eastAsia="宋体"/>
                <w:color w:val="auto"/>
                <w:sz w:val="24"/>
                <w:szCs w:val="24"/>
                <w:highlight w:val="none"/>
                <w:lang w:val="en-US" w:eastAsia="zh-CN"/>
              </w:rPr>
              <w:t>乙方</w:t>
            </w:r>
            <w:r>
              <w:rPr>
                <w:rFonts w:hint="eastAsia" w:eastAsia="宋体"/>
                <w:color w:val="auto"/>
                <w:sz w:val="24"/>
                <w:szCs w:val="24"/>
                <w:highlight w:val="none"/>
                <w:lang w:eastAsia="zh-CN"/>
              </w:rPr>
              <w:t>不及时执行或拒不执行的</w:t>
            </w:r>
          </w:p>
        </w:tc>
        <w:tc>
          <w:tcPr>
            <w:tcW w:w="0" w:type="auto"/>
            <w:noWrap w:val="0"/>
            <w:vAlign w:val="center"/>
          </w:tcPr>
          <w:p w14:paraId="22C343D3">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不及时执行的，每次扣</w:t>
            </w:r>
            <w:r>
              <w:rPr>
                <w:rFonts w:hint="eastAsia" w:ascii="Calibri" w:eastAsia="宋体"/>
                <w:color w:val="auto"/>
                <w:sz w:val="24"/>
                <w:szCs w:val="24"/>
                <w:highlight w:val="none"/>
                <w:lang w:val="en-US" w:eastAsia="zh-CN"/>
              </w:rPr>
              <w:t>5分；拒不执行的，每次扣10分。</w:t>
            </w:r>
          </w:p>
        </w:tc>
        <w:tc>
          <w:tcPr>
            <w:tcW w:w="0" w:type="auto"/>
            <w:noWrap w:val="0"/>
            <w:vAlign w:val="center"/>
          </w:tcPr>
          <w:p w14:paraId="42D4ABC7">
            <w:pPr>
              <w:spacing w:line="360" w:lineRule="auto"/>
              <w:rPr>
                <w:rFonts w:hint="eastAsia"/>
                <w:color w:val="auto"/>
                <w:sz w:val="24"/>
                <w:szCs w:val="24"/>
                <w:highlight w:val="none"/>
                <w:lang w:eastAsia="zh-CN"/>
              </w:rPr>
            </w:pPr>
          </w:p>
        </w:tc>
      </w:tr>
      <w:tr w14:paraId="4997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0" w:type="auto"/>
            <w:noWrap w:val="0"/>
            <w:vAlign w:val="center"/>
          </w:tcPr>
          <w:p w14:paraId="54C0BC8D">
            <w:pPr>
              <w:spacing w:line="360" w:lineRule="auto"/>
              <w:jc w:val="center"/>
              <w:rPr>
                <w:rFonts w:hint="eastAsia"/>
                <w:color w:val="auto"/>
                <w:sz w:val="24"/>
                <w:szCs w:val="24"/>
                <w:highlight w:val="none"/>
                <w:lang w:val="en-US" w:eastAsia="zh-CN"/>
              </w:rPr>
            </w:pPr>
            <w:r>
              <w:rPr>
                <w:rFonts w:hint="eastAsia" w:ascii="Calibri" w:eastAsia="宋体"/>
                <w:color w:val="auto"/>
                <w:sz w:val="24"/>
                <w:szCs w:val="24"/>
                <w:highlight w:val="none"/>
                <w:lang w:val="en-US" w:eastAsia="zh-CN"/>
              </w:rPr>
              <w:t>18</w:t>
            </w:r>
          </w:p>
        </w:tc>
        <w:tc>
          <w:tcPr>
            <w:tcW w:w="0" w:type="auto"/>
            <w:noWrap w:val="0"/>
            <w:vAlign w:val="center"/>
          </w:tcPr>
          <w:p w14:paraId="6B8AD9DA">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对于</w:t>
            </w:r>
            <w:r>
              <w:rPr>
                <w:rFonts w:hint="eastAsia" w:ascii="Calibri" w:eastAsia="宋体"/>
                <w:color w:val="auto"/>
                <w:sz w:val="24"/>
                <w:szCs w:val="24"/>
                <w:highlight w:val="none"/>
                <w:lang w:val="en-US" w:eastAsia="zh-CN"/>
              </w:rPr>
              <w:t>甲方</w:t>
            </w:r>
            <w:r>
              <w:rPr>
                <w:rFonts w:hint="eastAsia" w:eastAsia="宋体"/>
                <w:color w:val="auto"/>
                <w:sz w:val="24"/>
                <w:szCs w:val="24"/>
                <w:highlight w:val="none"/>
                <w:lang w:eastAsia="zh-CN"/>
              </w:rPr>
              <w:t>在考核、日常检查中发现的问题，不及时整改或拒不整改的</w:t>
            </w:r>
          </w:p>
        </w:tc>
        <w:tc>
          <w:tcPr>
            <w:tcW w:w="0" w:type="auto"/>
            <w:noWrap w:val="0"/>
            <w:vAlign w:val="center"/>
          </w:tcPr>
          <w:p w14:paraId="4B10A714">
            <w:pPr>
              <w:spacing w:line="360" w:lineRule="auto"/>
              <w:rPr>
                <w:rFonts w:hint="eastAsia"/>
                <w:color w:val="auto"/>
                <w:sz w:val="24"/>
                <w:szCs w:val="24"/>
                <w:highlight w:val="none"/>
                <w:lang w:eastAsia="zh-CN"/>
              </w:rPr>
            </w:pPr>
            <w:r>
              <w:rPr>
                <w:rFonts w:hint="eastAsia" w:eastAsia="宋体"/>
                <w:color w:val="auto"/>
                <w:sz w:val="24"/>
                <w:szCs w:val="24"/>
                <w:highlight w:val="none"/>
                <w:lang w:eastAsia="zh-CN"/>
              </w:rPr>
              <w:t>不及时整改的，每次扣</w:t>
            </w:r>
            <w:r>
              <w:rPr>
                <w:rFonts w:hint="eastAsia" w:ascii="Calibri" w:eastAsia="宋体"/>
                <w:color w:val="auto"/>
                <w:sz w:val="24"/>
                <w:szCs w:val="24"/>
                <w:highlight w:val="none"/>
                <w:lang w:val="en-US" w:eastAsia="zh-CN"/>
              </w:rPr>
              <w:t>5分；拒不整改的，每次扣10分。</w:t>
            </w:r>
          </w:p>
        </w:tc>
        <w:tc>
          <w:tcPr>
            <w:tcW w:w="0" w:type="auto"/>
            <w:noWrap w:val="0"/>
            <w:vAlign w:val="center"/>
          </w:tcPr>
          <w:p w14:paraId="28228BB2">
            <w:pPr>
              <w:spacing w:line="360" w:lineRule="auto"/>
              <w:rPr>
                <w:rFonts w:hint="eastAsia"/>
                <w:color w:val="auto"/>
                <w:sz w:val="24"/>
                <w:szCs w:val="24"/>
                <w:highlight w:val="none"/>
                <w:lang w:eastAsia="zh-CN"/>
              </w:rPr>
            </w:pPr>
          </w:p>
        </w:tc>
      </w:tr>
      <w:tr w14:paraId="1F85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gridSpan w:val="2"/>
            <w:noWrap w:val="0"/>
            <w:vAlign w:val="center"/>
          </w:tcPr>
          <w:p w14:paraId="7189B7C0">
            <w:pPr>
              <w:spacing w:line="360" w:lineRule="auto"/>
              <w:jc w:val="center"/>
              <w:rPr>
                <w:rFonts w:hint="default"/>
                <w:color w:val="auto"/>
                <w:sz w:val="24"/>
                <w:szCs w:val="24"/>
                <w:highlight w:val="none"/>
                <w:lang w:val="en-US" w:eastAsia="zh-CN"/>
              </w:rPr>
            </w:pPr>
            <w:r>
              <w:rPr>
                <w:rFonts w:hint="eastAsia" w:ascii="Calibri" w:eastAsia="宋体"/>
                <w:color w:val="auto"/>
                <w:sz w:val="24"/>
                <w:szCs w:val="24"/>
                <w:highlight w:val="none"/>
                <w:lang w:val="en-US" w:eastAsia="zh-CN"/>
              </w:rPr>
              <w:t>合计</w:t>
            </w:r>
          </w:p>
        </w:tc>
        <w:tc>
          <w:tcPr>
            <w:tcW w:w="0" w:type="auto"/>
            <w:gridSpan w:val="2"/>
            <w:noWrap w:val="0"/>
            <w:vAlign w:val="center"/>
          </w:tcPr>
          <w:p w14:paraId="29087DDB">
            <w:pPr>
              <w:spacing w:line="360" w:lineRule="auto"/>
              <w:rPr>
                <w:rFonts w:hint="eastAsia"/>
                <w:color w:val="auto"/>
                <w:sz w:val="24"/>
                <w:szCs w:val="24"/>
                <w:highlight w:val="none"/>
                <w:lang w:eastAsia="zh-CN"/>
              </w:rPr>
            </w:pPr>
          </w:p>
        </w:tc>
      </w:tr>
    </w:tbl>
    <w:p w14:paraId="0BBAAC04"/>
    <w:p w14:paraId="1CBDA2F4">
      <w:pPr>
        <w:rPr>
          <w:rFonts w:ascii="宋体" w:hAnsi="宋体"/>
          <w:color w:val="auto"/>
          <w:highlight w:val="none"/>
        </w:rPr>
      </w:pPr>
    </w:p>
    <w:p w14:paraId="54501E27">
      <w:pPr>
        <w:rPr>
          <w:rFonts w:ascii="宋体" w:hAnsi="宋体"/>
          <w:color w:val="auto"/>
          <w:highlight w:val="none"/>
        </w:rPr>
      </w:pPr>
    </w:p>
    <w:p w14:paraId="5E132DF0">
      <w:pPr>
        <w:rPr>
          <w:rFonts w:ascii="宋体" w:hAnsi="宋体"/>
          <w:color w:val="auto"/>
          <w:highlight w:val="none"/>
        </w:rPr>
      </w:pPr>
    </w:p>
    <w:p w14:paraId="0BC5A739">
      <w:pPr>
        <w:rPr>
          <w:rFonts w:ascii="宋体" w:hAnsi="宋体"/>
          <w:color w:val="auto"/>
          <w:highlight w:val="none"/>
        </w:rPr>
      </w:pPr>
    </w:p>
    <w:p w14:paraId="5573D515">
      <w:pPr>
        <w:rPr>
          <w:rFonts w:ascii="宋体" w:hAnsi="宋体"/>
          <w:color w:val="auto"/>
          <w:highlight w:val="none"/>
        </w:rPr>
      </w:pPr>
    </w:p>
    <w:p w14:paraId="3004CA7B">
      <w:pPr>
        <w:rPr>
          <w:rFonts w:ascii="宋体" w:hAnsi="宋体"/>
          <w:color w:val="auto"/>
          <w:highlight w:val="none"/>
        </w:rPr>
      </w:pPr>
    </w:p>
    <w:p w14:paraId="1E878D6D">
      <w:pPr>
        <w:rPr>
          <w:rFonts w:ascii="宋体" w:hAnsi="宋体"/>
          <w:color w:val="auto"/>
          <w:highlight w:val="none"/>
        </w:rPr>
      </w:pPr>
    </w:p>
    <w:p w14:paraId="0DABD767">
      <w:pPr>
        <w:rPr>
          <w:rFonts w:ascii="宋体" w:hAnsi="宋体"/>
          <w:color w:val="auto"/>
          <w:highlight w:val="none"/>
        </w:rPr>
      </w:pPr>
    </w:p>
    <w:p w14:paraId="5C7C8CB5">
      <w:pPr>
        <w:rPr>
          <w:rFonts w:ascii="宋体" w:hAnsi="宋体"/>
          <w:color w:val="auto"/>
          <w:highlight w:val="none"/>
        </w:rPr>
      </w:pPr>
    </w:p>
    <w:p w14:paraId="06F219E2">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bookmarkStart w:id="113" w:name="_Toc19026"/>
    </w:p>
    <w:p w14:paraId="2790125B">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3CC3D002">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404A685D">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0574E775">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0D013218">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390766EA">
      <w:pPr>
        <w:keepNext/>
        <w:keepLines/>
        <w:widowControl w:val="0"/>
        <w:jc w:val="center"/>
        <w:outlineLvl w:val="0"/>
        <w:rPr>
          <w:rFonts w:hint="eastAsia" w:ascii="宋体" w:hAnsi="宋体" w:eastAsia="宋体" w:cs="Times New Roman"/>
          <w:b/>
          <w:bCs/>
          <w:color w:val="auto"/>
          <w:kern w:val="44"/>
          <w:sz w:val="52"/>
          <w:szCs w:val="44"/>
          <w:highlight w:val="none"/>
          <w:lang w:val="en-US" w:eastAsia="zh-CN" w:bidi="ar-SA"/>
        </w:rPr>
      </w:pPr>
    </w:p>
    <w:p w14:paraId="137E4DA2">
      <w:pPr>
        <w:keepNext/>
        <w:keepLines/>
        <w:widowControl w:val="0"/>
        <w:jc w:val="center"/>
        <w:outlineLvl w:val="0"/>
        <w:rPr>
          <w:rFonts w:ascii="宋体" w:hAnsi="宋体" w:eastAsia="宋体" w:cs="Times New Roman"/>
          <w:b/>
          <w:bCs/>
          <w:color w:val="auto"/>
          <w:kern w:val="44"/>
          <w:sz w:val="52"/>
          <w:szCs w:val="44"/>
          <w:highlight w:val="none"/>
          <w:lang w:val="en-US" w:eastAsia="zh-CN" w:bidi="ar-SA"/>
        </w:rPr>
      </w:pPr>
      <w:bookmarkStart w:id="114" w:name="_Toc16096"/>
      <w:r>
        <w:rPr>
          <w:rFonts w:hint="eastAsia" w:ascii="宋体" w:hAnsi="宋体" w:eastAsia="宋体" w:cs="Times New Roman"/>
          <w:b/>
          <w:bCs/>
          <w:color w:val="auto"/>
          <w:kern w:val="44"/>
          <w:sz w:val="52"/>
          <w:szCs w:val="44"/>
          <w:highlight w:val="none"/>
          <w:lang w:val="en-US" w:eastAsia="zh-CN" w:bidi="ar-SA"/>
        </w:rPr>
        <w:t>第五部分</w:t>
      </w:r>
      <w:r>
        <w:rPr>
          <w:rFonts w:ascii="宋体" w:hAnsi="宋体" w:eastAsia="宋体" w:cs="Times New Roman"/>
          <w:b/>
          <w:bCs/>
          <w:color w:val="auto"/>
          <w:kern w:val="44"/>
          <w:sz w:val="52"/>
          <w:szCs w:val="44"/>
          <w:highlight w:val="none"/>
          <w:lang w:val="en-US" w:eastAsia="zh-CN" w:bidi="ar-SA"/>
        </w:rPr>
        <w:t xml:space="preserve">  </w:t>
      </w:r>
      <w:r>
        <w:rPr>
          <w:rFonts w:hint="eastAsia" w:ascii="宋体" w:hAnsi="宋体" w:eastAsia="宋体" w:cs="Times New Roman"/>
          <w:b/>
          <w:bCs/>
          <w:color w:val="auto"/>
          <w:kern w:val="44"/>
          <w:sz w:val="52"/>
          <w:szCs w:val="44"/>
          <w:highlight w:val="none"/>
          <w:lang w:val="en-US" w:eastAsia="zh-CN" w:bidi="ar-SA"/>
        </w:rPr>
        <w:t>响应文件格式</w:t>
      </w:r>
      <w:bookmarkEnd w:id="113"/>
      <w:bookmarkEnd w:id="114"/>
    </w:p>
    <w:p w14:paraId="5E6C5B2E">
      <w:pPr>
        <w:rPr>
          <w:rFonts w:ascii="宋体" w:hAnsi="宋体"/>
          <w:color w:val="auto"/>
          <w:highlight w:val="none"/>
        </w:rPr>
      </w:pPr>
    </w:p>
    <w:p w14:paraId="6E545BE9">
      <w:pPr>
        <w:spacing w:line="360" w:lineRule="auto"/>
        <w:rPr>
          <w:rFonts w:hint="eastAsia" w:ascii="宋体" w:hAnsi="宋体"/>
          <w:color w:val="auto"/>
          <w:highlight w:val="none"/>
        </w:rPr>
      </w:pPr>
      <w:r>
        <w:rPr>
          <w:rFonts w:ascii="宋体" w:hAnsi="宋体"/>
          <w:color w:val="auto"/>
          <w:highlight w:val="none"/>
        </w:rPr>
        <w:br w:type="page"/>
      </w:r>
    </w:p>
    <w:p w14:paraId="774E2B0D">
      <w:pPr>
        <w:spacing w:line="360" w:lineRule="auto"/>
        <w:rPr>
          <w:rFonts w:hint="eastAsia" w:ascii="宋体" w:hAnsi="宋体"/>
          <w:color w:val="auto"/>
          <w:sz w:val="21"/>
          <w:highlight w:val="none"/>
        </w:rPr>
      </w:pPr>
      <w:r>
        <w:rPr>
          <w:rFonts w:hint="eastAsia" w:ascii="宋体" w:hAnsi="宋体"/>
          <w:b/>
          <w:color w:val="auto"/>
          <w:sz w:val="21"/>
          <w:highlight w:val="none"/>
        </w:rPr>
        <w:t>响应文件封面格式参考（</w:t>
      </w:r>
      <w:r>
        <w:rPr>
          <w:rFonts w:hint="eastAsia" w:ascii="宋体" w:hAnsi="宋体"/>
          <w:color w:val="auto"/>
          <w:sz w:val="21"/>
          <w:highlight w:val="none"/>
        </w:rPr>
        <w:t>供应商可自行设计编制响应文件的封面，封面上须包含但不限于以下内容，并在名称处加盖公章，及注明“正本”或“副本”字样）</w:t>
      </w:r>
      <w:r>
        <w:rPr>
          <w:rFonts w:hint="eastAsia" w:ascii="宋体" w:hAnsi="宋体"/>
          <w:b/>
          <w:color w:val="auto"/>
          <w:sz w:val="21"/>
          <w:highlight w:val="none"/>
        </w:rPr>
        <w:t>：</w:t>
      </w:r>
    </w:p>
    <w:p w14:paraId="29C9395C">
      <w:pPr>
        <w:spacing w:line="360" w:lineRule="auto"/>
        <w:rPr>
          <w:rFonts w:ascii="宋体" w:hAnsi="宋体"/>
          <w:color w:val="auto"/>
          <w:highlight w:val="none"/>
        </w:rPr>
      </w:pPr>
    </w:p>
    <w:p w14:paraId="64E96D32">
      <w:pPr>
        <w:spacing w:line="360" w:lineRule="auto"/>
        <w:rPr>
          <w:rFonts w:ascii="宋体" w:hAnsi="宋体"/>
          <w:color w:val="auto"/>
          <w:highlight w:val="none"/>
        </w:rPr>
      </w:pPr>
    </w:p>
    <w:p w14:paraId="7D16E375">
      <w:pPr>
        <w:spacing w:line="360" w:lineRule="auto"/>
        <w:rPr>
          <w:rFonts w:hint="eastAsia" w:ascii="宋体" w:hAnsi="宋体"/>
          <w:color w:val="auto"/>
          <w:highlight w:val="none"/>
        </w:rPr>
      </w:pPr>
    </w:p>
    <w:p w14:paraId="74A5D784">
      <w:pPr>
        <w:spacing w:line="360" w:lineRule="auto"/>
        <w:jc w:val="center"/>
        <w:rPr>
          <w:rFonts w:hint="eastAsia" w:ascii="宋体" w:hAnsi="宋体"/>
          <w:b/>
          <w:color w:val="auto"/>
          <w:sz w:val="56"/>
          <w:szCs w:val="56"/>
          <w:highlight w:val="none"/>
          <w:lang w:eastAsia="zh-CN"/>
        </w:rPr>
      </w:pPr>
      <w:r>
        <w:rPr>
          <w:rFonts w:hint="eastAsia" w:ascii="宋体" w:hAnsi="宋体"/>
          <w:b/>
          <w:color w:val="auto"/>
          <w:sz w:val="56"/>
          <w:szCs w:val="56"/>
          <w:highlight w:val="none"/>
          <w:lang w:eastAsia="zh-CN"/>
        </w:rPr>
        <w:t>佛山市禅城区祖庙街道城建和水务</w:t>
      </w:r>
    </w:p>
    <w:p w14:paraId="07EBF82F">
      <w:pPr>
        <w:spacing w:line="360" w:lineRule="auto"/>
        <w:jc w:val="center"/>
        <w:rPr>
          <w:rFonts w:hint="eastAsia" w:ascii="宋体" w:hAnsi="宋体"/>
          <w:color w:val="auto"/>
          <w:highlight w:val="none"/>
        </w:rPr>
      </w:pPr>
      <w:r>
        <w:rPr>
          <w:rFonts w:hint="eastAsia" w:ascii="宋体" w:hAnsi="宋体"/>
          <w:b/>
          <w:color w:val="auto"/>
          <w:sz w:val="56"/>
          <w:szCs w:val="56"/>
          <w:highlight w:val="none"/>
          <w:lang w:eastAsia="zh-CN"/>
        </w:rPr>
        <w:t>办公室</w:t>
      </w:r>
    </w:p>
    <w:p w14:paraId="42AF3706">
      <w:pPr>
        <w:spacing w:line="360" w:lineRule="auto"/>
        <w:rPr>
          <w:rFonts w:hint="eastAsia" w:ascii="宋体" w:hAnsi="宋体"/>
          <w:color w:val="auto"/>
          <w:highlight w:val="none"/>
        </w:rPr>
      </w:pPr>
    </w:p>
    <w:p w14:paraId="7082DDB2">
      <w:pPr>
        <w:spacing w:line="360" w:lineRule="auto"/>
        <w:jc w:val="center"/>
        <w:outlineLvl w:val="0"/>
        <w:rPr>
          <w:rFonts w:hint="eastAsia" w:ascii="宋体" w:hAnsi="宋体"/>
          <w:b/>
          <w:color w:val="auto"/>
          <w:sz w:val="72"/>
          <w:highlight w:val="none"/>
        </w:rPr>
      </w:pPr>
      <w:bookmarkStart w:id="115" w:name="_Toc30348"/>
      <w:r>
        <w:rPr>
          <w:rFonts w:hint="eastAsia" w:ascii="宋体" w:hAnsi="宋体"/>
          <w:b/>
          <w:color w:val="auto"/>
          <w:sz w:val="72"/>
          <w:highlight w:val="none"/>
        </w:rPr>
        <w:t>响</w:t>
      </w:r>
      <w:r>
        <w:rPr>
          <w:rFonts w:ascii="宋体" w:hAnsi="宋体"/>
          <w:b/>
          <w:color w:val="auto"/>
          <w:sz w:val="72"/>
          <w:highlight w:val="none"/>
        </w:rPr>
        <w:t xml:space="preserve"> </w:t>
      </w:r>
      <w:r>
        <w:rPr>
          <w:rFonts w:hint="eastAsia" w:ascii="宋体" w:hAnsi="宋体"/>
          <w:b/>
          <w:color w:val="auto"/>
          <w:sz w:val="72"/>
          <w:highlight w:val="none"/>
        </w:rPr>
        <w:t>应 文 件</w:t>
      </w:r>
      <w:bookmarkEnd w:id="115"/>
    </w:p>
    <w:p w14:paraId="27273729">
      <w:pPr>
        <w:spacing w:line="360" w:lineRule="auto"/>
        <w:rPr>
          <w:rFonts w:ascii="宋体" w:hAnsi="宋体"/>
          <w:color w:val="auto"/>
          <w:highlight w:val="none"/>
        </w:rPr>
      </w:pPr>
    </w:p>
    <w:p w14:paraId="16BEC0C7">
      <w:pPr>
        <w:spacing w:line="360" w:lineRule="auto"/>
        <w:rPr>
          <w:rFonts w:hint="eastAsia" w:ascii="宋体" w:hAnsi="宋体"/>
          <w:color w:val="auto"/>
          <w:highlight w:val="none"/>
        </w:rPr>
      </w:pPr>
    </w:p>
    <w:p w14:paraId="0FCA52CE">
      <w:pPr>
        <w:spacing w:line="360" w:lineRule="auto"/>
        <w:jc w:val="center"/>
        <w:outlineLvl w:val="0"/>
        <w:rPr>
          <w:rFonts w:hint="eastAsia" w:ascii="宋体" w:hAnsi="宋体"/>
          <w:b/>
          <w:color w:val="auto"/>
          <w:sz w:val="72"/>
          <w:highlight w:val="none"/>
        </w:rPr>
      </w:pPr>
      <w:bookmarkStart w:id="116" w:name="_Toc31747"/>
      <w:r>
        <w:rPr>
          <w:rFonts w:hint="eastAsia" w:ascii="宋体" w:hAnsi="宋体"/>
          <w:b/>
          <w:color w:val="auto"/>
          <w:sz w:val="48"/>
          <w:highlight w:val="none"/>
        </w:rPr>
        <w:t>（正本/副本）</w:t>
      </w:r>
      <w:bookmarkEnd w:id="116"/>
    </w:p>
    <w:p w14:paraId="01FFE4C2">
      <w:pPr>
        <w:spacing w:line="360" w:lineRule="auto"/>
        <w:rPr>
          <w:rFonts w:hint="eastAsia" w:ascii="宋体" w:hAnsi="宋体"/>
          <w:b/>
          <w:bCs/>
          <w:color w:val="auto"/>
          <w:highlight w:val="none"/>
        </w:rPr>
      </w:pPr>
    </w:p>
    <w:p w14:paraId="0564774B">
      <w:pPr>
        <w:spacing w:line="360" w:lineRule="auto"/>
        <w:rPr>
          <w:rFonts w:hint="eastAsia" w:ascii="宋体" w:hAnsi="宋体"/>
          <w:b/>
          <w:bCs/>
          <w:color w:val="auto"/>
          <w:highlight w:val="none"/>
        </w:rPr>
      </w:pPr>
    </w:p>
    <w:p w14:paraId="0136F559">
      <w:pPr>
        <w:spacing w:line="360" w:lineRule="auto"/>
        <w:jc w:val="center"/>
        <w:rPr>
          <w:rFonts w:hint="eastAsia" w:ascii="宋体" w:hAnsi="宋体" w:eastAsia="宋体"/>
          <w:b/>
          <w:bCs/>
          <w:color w:val="auto"/>
          <w:highlight w:val="none"/>
          <w:lang w:eastAsia="zh-CN"/>
        </w:rPr>
      </w:pPr>
      <w:r>
        <w:rPr>
          <w:rFonts w:hint="eastAsia" w:ascii="宋体" w:hAnsi="宋体"/>
          <w:b/>
          <w:bCs/>
          <w:color w:val="auto"/>
          <w:highlight w:val="none"/>
        </w:rPr>
        <w:t>采购项目编号：</w:t>
      </w:r>
      <w:r>
        <w:rPr>
          <w:rFonts w:hint="eastAsia" w:ascii="宋体" w:hAnsi="宋体"/>
          <w:b/>
          <w:bCs/>
          <w:color w:val="auto"/>
          <w:highlight w:val="none"/>
          <w:lang w:eastAsia="zh-CN"/>
        </w:rPr>
        <w:t>HRC24FSCS0501</w:t>
      </w:r>
    </w:p>
    <w:p w14:paraId="6DA06DFE">
      <w:pPr>
        <w:spacing w:line="360" w:lineRule="auto"/>
        <w:jc w:val="center"/>
        <w:rPr>
          <w:rFonts w:hint="eastAsia" w:ascii="宋体" w:hAnsi="宋体"/>
          <w:color w:val="auto"/>
          <w:highlight w:val="none"/>
        </w:rPr>
      </w:pPr>
      <w:r>
        <w:rPr>
          <w:rFonts w:hint="eastAsia" w:ascii="宋体" w:hAnsi="宋体"/>
          <w:b/>
          <w:bCs/>
          <w:color w:val="auto"/>
          <w:highlight w:val="none"/>
        </w:rPr>
        <w:t>采购项目名称：</w:t>
      </w:r>
      <w:r>
        <w:rPr>
          <w:rFonts w:hint="eastAsia" w:ascii="宋体" w:hAnsi="宋体"/>
          <w:b/>
          <w:color w:val="auto"/>
          <w:szCs w:val="20"/>
          <w:highlight w:val="none"/>
          <w:lang w:eastAsia="zh-CN"/>
        </w:rPr>
        <w:t>佛山市养老养生健康产业园项目保安服务</w:t>
      </w:r>
    </w:p>
    <w:p w14:paraId="0E8CDE00">
      <w:pPr>
        <w:spacing w:line="360" w:lineRule="auto"/>
        <w:rPr>
          <w:rFonts w:hint="eastAsia" w:ascii="宋体" w:hAnsi="宋体"/>
          <w:color w:val="auto"/>
          <w:highlight w:val="none"/>
        </w:rPr>
      </w:pPr>
    </w:p>
    <w:p w14:paraId="62E3B544">
      <w:pPr>
        <w:spacing w:line="360" w:lineRule="auto"/>
        <w:rPr>
          <w:rFonts w:hint="eastAsia" w:ascii="宋体" w:hAnsi="宋体"/>
          <w:color w:val="auto"/>
          <w:highlight w:val="none"/>
        </w:rPr>
      </w:pPr>
    </w:p>
    <w:p w14:paraId="5D444D3D">
      <w:pPr>
        <w:spacing w:line="360" w:lineRule="auto"/>
        <w:jc w:val="center"/>
        <w:rPr>
          <w:rFonts w:hint="eastAsia" w:ascii="宋体" w:hAnsi="宋体"/>
          <w:b/>
          <w:bCs/>
          <w:color w:val="auto"/>
          <w:highlight w:val="none"/>
        </w:rPr>
      </w:pPr>
      <w:r>
        <w:rPr>
          <w:rFonts w:hint="eastAsia" w:ascii="宋体" w:hAnsi="宋体"/>
          <w:b/>
          <w:bCs/>
          <w:color w:val="auto"/>
          <w:highlight w:val="none"/>
        </w:rPr>
        <w:t>供应商名称：</w:t>
      </w:r>
      <w:r>
        <w:rPr>
          <w:rFonts w:hint="eastAsia" w:ascii="宋体" w:hAnsi="宋体"/>
          <w:color w:val="auto"/>
          <w:highlight w:val="none"/>
          <w:u w:val="single"/>
        </w:rPr>
        <w:t xml:space="preserve">     （公司名称）    </w:t>
      </w:r>
      <w:r>
        <w:rPr>
          <w:rFonts w:hint="eastAsia" w:ascii="宋体" w:hAnsi="宋体"/>
          <w:color w:val="auto"/>
          <w:highlight w:val="none"/>
        </w:rPr>
        <w:t>（盖公章）</w:t>
      </w:r>
    </w:p>
    <w:p w14:paraId="0FC201BB">
      <w:pPr>
        <w:spacing w:line="360" w:lineRule="auto"/>
        <w:jc w:val="center"/>
        <w:rPr>
          <w:rFonts w:hint="eastAsia" w:ascii="宋体" w:hAnsi="宋体"/>
          <w:b/>
          <w:bCs/>
          <w:color w:val="auto"/>
          <w:highlight w:val="none"/>
        </w:rPr>
      </w:pPr>
      <w:r>
        <w:rPr>
          <w:rFonts w:hint="eastAsia" w:ascii="宋体" w:hAnsi="宋体"/>
          <w:b/>
          <w:bCs/>
          <w:color w:val="auto"/>
          <w:highlight w:val="none"/>
        </w:rPr>
        <w:t xml:space="preserve">日  期： </w:t>
      </w:r>
      <w:r>
        <w:rPr>
          <w:rFonts w:ascii="宋体" w:hAnsi="宋体"/>
          <w:b/>
          <w:bCs/>
          <w:color w:val="auto"/>
          <w:highlight w:val="none"/>
        </w:rPr>
        <w:t xml:space="preserve">   </w:t>
      </w:r>
      <w:r>
        <w:rPr>
          <w:rFonts w:hint="eastAsia" w:ascii="宋体" w:hAnsi="宋体"/>
          <w:b/>
          <w:bCs/>
          <w:color w:val="auto"/>
          <w:highlight w:val="none"/>
        </w:rPr>
        <w:t>年</w:t>
      </w:r>
      <w:r>
        <w:rPr>
          <w:rFonts w:ascii="宋体" w:hAnsi="宋体"/>
          <w:b/>
          <w:bCs/>
          <w:color w:val="auto"/>
          <w:highlight w:val="none"/>
        </w:rPr>
        <w:t xml:space="preserve">    </w:t>
      </w:r>
      <w:r>
        <w:rPr>
          <w:rFonts w:hint="eastAsia" w:ascii="宋体" w:hAnsi="宋体"/>
          <w:b/>
          <w:bCs/>
          <w:color w:val="auto"/>
          <w:highlight w:val="none"/>
        </w:rPr>
        <w:t>月</w:t>
      </w:r>
      <w:r>
        <w:rPr>
          <w:rFonts w:ascii="宋体" w:hAnsi="宋体"/>
          <w:b/>
          <w:bCs/>
          <w:color w:val="auto"/>
          <w:highlight w:val="none"/>
        </w:rPr>
        <w:t xml:space="preserve">    </w:t>
      </w:r>
      <w:r>
        <w:rPr>
          <w:rFonts w:hint="eastAsia" w:ascii="宋体" w:hAnsi="宋体"/>
          <w:b/>
          <w:bCs/>
          <w:color w:val="auto"/>
          <w:highlight w:val="none"/>
        </w:rPr>
        <w:t>日</w:t>
      </w:r>
    </w:p>
    <w:p w14:paraId="7BD88671">
      <w:pPr>
        <w:rPr>
          <w:rFonts w:ascii="宋体" w:hAnsi="宋体"/>
          <w:color w:val="auto"/>
          <w:highlight w:val="none"/>
        </w:rPr>
      </w:pPr>
    </w:p>
    <w:p w14:paraId="06835FDA">
      <w:pPr>
        <w:tabs>
          <w:tab w:val="left" w:pos="720"/>
        </w:tabs>
        <w:spacing w:after="120" w:afterLines="50" w:line="360" w:lineRule="auto"/>
        <w:ind w:left="181"/>
        <w:jc w:val="center"/>
        <w:rPr>
          <w:rFonts w:hint="eastAsia" w:ascii="宋体" w:hAnsi="宋体"/>
          <w:b/>
          <w:bCs/>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响应文件目录</w:t>
      </w:r>
    </w:p>
    <w:p w14:paraId="255287D7">
      <w:pPr>
        <w:tabs>
          <w:tab w:val="left" w:pos="540"/>
        </w:tabs>
        <w:snapToGrid w:val="0"/>
        <w:spacing w:line="360" w:lineRule="auto"/>
        <w:rPr>
          <w:rFonts w:ascii="宋体" w:hAnsi="宋体"/>
          <w:b/>
          <w:color w:val="auto"/>
          <w:highlight w:val="none"/>
          <w:lang w:val="en-GB"/>
        </w:rPr>
      </w:pPr>
    </w:p>
    <w:p w14:paraId="2E670EF5">
      <w:pPr>
        <w:tabs>
          <w:tab w:val="left" w:pos="540"/>
        </w:tabs>
        <w:snapToGrid w:val="0"/>
        <w:spacing w:line="360" w:lineRule="auto"/>
        <w:ind w:left="482" w:hanging="482" w:hangingChars="200"/>
        <w:rPr>
          <w:rFonts w:hint="eastAsia" w:ascii="宋体" w:hAnsi="宋体"/>
          <w:b/>
          <w:color w:val="auto"/>
          <w:highlight w:val="none"/>
          <w:lang w:val="en-GB"/>
        </w:rPr>
      </w:pPr>
      <w:r>
        <w:rPr>
          <w:rFonts w:hint="eastAsia" w:ascii="宋体" w:hAnsi="宋体"/>
          <w:b/>
          <w:color w:val="auto"/>
          <w:highlight w:val="none"/>
          <w:lang w:val="en-GB"/>
        </w:rPr>
        <w:t>注：响应文件必须编制目录（目录格式不限，</w:t>
      </w:r>
      <w:r>
        <w:rPr>
          <w:rFonts w:ascii="宋体" w:hAnsi="宋体"/>
          <w:b/>
          <w:color w:val="auto"/>
          <w:highlight w:val="none"/>
          <w:lang w:val="en-GB"/>
        </w:rPr>
        <w:t>由</w:t>
      </w:r>
      <w:r>
        <w:rPr>
          <w:rFonts w:hint="eastAsia" w:ascii="宋体" w:hAnsi="宋体"/>
          <w:b/>
          <w:color w:val="auto"/>
          <w:highlight w:val="none"/>
          <w:lang w:val="en-GB"/>
        </w:rPr>
        <w:t>供应商自行编制</w:t>
      </w:r>
      <w:r>
        <w:rPr>
          <w:rFonts w:ascii="宋体" w:hAnsi="宋体"/>
          <w:b/>
          <w:color w:val="auto"/>
          <w:highlight w:val="none"/>
          <w:lang w:val="en-GB"/>
        </w:rPr>
        <w:t>）</w:t>
      </w:r>
      <w:r>
        <w:rPr>
          <w:rFonts w:hint="eastAsia" w:ascii="宋体" w:hAnsi="宋体"/>
          <w:b/>
          <w:color w:val="auto"/>
          <w:highlight w:val="none"/>
          <w:lang w:val="en-GB"/>
        </w:rPr>
        <w:t>，且目录必须清晰、准确，与响应文件中的每页所加注的页码相对应。供应商须按响应文件格式内容进行排版，如属于格式外的内容，供应商可根据其内容自行排版。</w:t>
      </w:r>
    </w:p>
    <w:p w14:paraId="08512B11">
      <w:pPr>
        <w:tabs>
          <w:tab w:val="left" w:pos="720"/>
        </w:tabs>
        <w:spacing w:line="360" w:lineRule="auto"/>
        <w:rPr>
          <w:rFonts w:ascii="宋体" w:hAnsi="宋体"/>
          <w:b/>
          <w:color w:val="auto"/>
          <w:highlight w:val="none"/>
        </w:rPr>
      </w:pPr>
    </w:p>
    <w:p w14:paraId="69F665D4">
      <w:pPr>
        <w:tabs>
          <w:tab w:val="left" w:pos="720"/>
        </w:tabs>
        <w:spacing w:line="360" w:lineRule="auto"/>
        <w:rPr>
          <w:rFonts w:hint="eastAsia" w:ascii="宋体" w:hAnsi="宋体"/>
          <w:b/>
          <w:color w:val="auto"/>
          <w:highlight w:val="none"/>
        </w:rPr>
      </w:pPr>
    </w:p>
    <w:p w14:paraId="3875C6D9">
      <w:pPr>
        <w:rPr>
          <w:rFonts w:ascii="宋体" w:hAnsi="宋体"/>
          <w:color w:val="auto"/>
          <w:highlight w:val="none"/>
        </w:rPr>
      </w:pPr>
      <w:r>
        <w:rPr>
          <w:rFonts w:ascii="宋体" w:hAnsi="宋体"/>
          <w:color w:val="auto"/>
          <w:highlight w:val="none"/>
        </w:rPr>
        <w:br w:type="page"/>
      </w:r>
    </w:p>
    <w:p w14:paraId="664032D1">
      <w:pPr>
        <w:rPr>
          <w:rFonts w:ascii="宋体" w:hAnsi="宋体"/>
          <w:color w:val="auto"/>
          <w:highlight w:val="none"/>
        </w:rPr>
      </w:pPr>
    </w:p>
    <w:p w14:paraId="7CBFBFE4">
      <w:pPr>
        <w:rPr>
          <w:rFonts w:ascii="宋体" w:hAnsi="宋体"/>
          <w:color w:val="auto"/>
          <w:highlight w:val="none"/>
        </w:rPr>
      </w:pPr>
    </w:p>
    <w:p w14:paraId="71DD6B3C">
      <w:pPr>
        <w:rPr>
          <w:rFonts w:ascii="宋体" w:hAnsi="宋体"/>
          <w:color w:val="auto"/>
          <w:highlight w:val="none"/>
        </w:rPr>
      </w:pPr>
    </w:p>
    <w:p w14:paraId="417E67CE">
      <w:pPr>
        <w:rPr>
          <w:rFonts w:ascii="宋体" w:hAnsi="宋体"/>
          <w:color w:val="auto"/>
          <w:highlight w:val="none"/>
        </w:rPr>
      </w:pPr>
    </w:p>
    <w:p w14:paraId="017B7228">
      <w:pPr>
        <w:rPr>
          <w:rFonts w:ascii="宋体" w:hAnsi="宋体"/>
          <w:color w:val="auto"/>
          <w:highlight w:val="none"/>
        </w:rPr>
      </w:pPr>
    </w:p>
    <w:p w14:paraId="0028E6C6">
      <w:pPr>
        <w:rPr>
          <w:rFonts w:ascii="宋体" w:hAnsi="宋体"/>
          <w:color w:val="auto"/>
          <w:highlight w:val="none"/>
        </w:rPr>
      </w:pPr>
    </w:p>
    <w:p w14:paraId="49E1CC8B">
      <w:pPr>
        <w:rPr>
          <w:rFonts w:ascii="宋体" w:hAnsi="宋体"/>
          <w:color w:val="auto"/>
          <w:highlight w:val="none"/>
        </w:rPr>
      </w:pPr>
    </w:p>
    <w:p w14:paraId="0565D9FB">
      <w:pPr>
        <w:rPr>
          <w:rFonts w:ascii="宋体" w:hAnsi="宋体"/>
          <w:color w:val="auto"/>
          <w:highlight w:val="none"/>
        </w:rPr>
      </w:pPr>
    </w:p>
    <w:p w14:paraId="314CC191">
      <w:pPr>
        <w:rPr>
          <w:rFonts w:ascii="宋体" w:hAnsi="宋体"/>
          <w:color w:val="auto"/>
          <w:highlight w:val="none"/>
        </w:rPr>
      </w:pPr>
    </w:p>
    <w:p w14:paraId="781EA8DC">
      <w:pPr>
        <w:rPr>
          <w:rFonts w:ascii="宋体" w:hAnsi="宋体"/>
          <w:color w:val="auto"/>
          <w:highlight w:val="none"/>
        </w:rPr>
      </w:pPr>
    </w:p>
    <w:p w14:paraId="187706C7">
      <w:pPr>
        <w:rPr>
          <w:rFonts w:ascii="宋体" w:hAnsi="宋体"/>
          <w:color w:val="auto"/>
          <w:highlight w:val="none"/>
        </w:rPr>
      </w:pPr>
    </w:p>
    <w:p w14:paraId="2236FC6A">
      <w:pPr>
        <w:rPr>
          <w:rFonts w:ascii="宋体" w:hAnsi="宋体"/>
          <w:color w:val="auto"/>
          <w:highlight w:val="none"/>
        </w:rPr>
      </w:pPr>
    </w:p>
    <w:p w14:paraId="215CBD7E">
      <w:pPr>
        <w:rPr>
          <w:rFonts w:ascii="宋体" w:hAnsi="宋体"/>
          <w:color w:val="auto"/>
          <w:highlight w:val="none"/>
        </w:rPr>
      </w:pPr>
    </w:p>
    <w:p w14:paraId="4BBC69B7">
      <w:pPr>
        <w:rPr>
          <w:rFonts w:ascii="宋体" w:hAnsi="宋体"/>
          <w:color w:val="auto"/>
          <w:highlight w:val="none"/>
        </w:rPr>
      </w:pPr>
    </w:p>
    <w:p w14:paraId="2270530F">
      <w:pPr>
        <w:rPr>
          <w:rFonts w:ascii="宋体" w:hAnsi="宋体"/>
          <w:color w:val="auto"/>
          <w:highlight w:val="none"/>
        </w:rPr>
      </w:pPr>
    </w:p>
    <w:p w14:paraId="1AF46CD6">
      <w:pPr>
        <w:rPr>
          <w:rFonts w:ascii="宋体" w:hAnsi="宋体"/>
          <w:color w:val="auto"/>
          <w:highlight w:val="none"/>
        </w:rPr>
      </w:pPr>
    </w:p>
    <w:p w14:paraId="53352A2F">
      <w:pPr>
        <w:rPr>
          <w:rFonts w:ascii="宋体" w:hAnsi="宋体"/>
          <w:color w:val="auto"/>
          <w:highlight w:val="none"/>
        </w:rPr>
      </w:pPr>
    </w:p>
    <w:p w14:paraId="3E407A8D">
      <w:pPr>
        <w:rPr>
          <w:rFonts w:ascii="宋体" w:hAnsi="宋体"/>
          <w:color w:val="auto"/>
          <w:highlight w:val="none"/>
        </w:rPr>
      </w:pPr>
    </w:p>
    <w:p w14:paraId="5F6398BF">
      <w:pPr>
        <w:rPr>
          <w:rFonts w:ascii="宋体" w:hAnsi="宋体"/>
          <w:color w:val="auto"/>
          <w:highlight w:val="none"/>
        </w:rPr>
      </w:pPr>
    </w:p>
    <w:p w14:paraId="6BB3265C">
      <w:pPr>
        <w:rPr>
          <w:rFonts w:ascii="宋体" w:hAnsi="宋体"/>
          <w:color w:val="auto"/>
          <w:highlight w:val="none"/>
        </w:rPr>
      </w:pPr>
    </w:p>
    <w:p w14:paraId="2FD38069">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bookmarkStart w:id="117" w:name="_Toc13344"/>
      <w:r>
        <w:rPr>
          <w:rFonts w:hint="eastAsia" w:ascii="Cambria" w:hAnsi="Cambria" w:eastAsia="宋体" w:cs="Times New Roman"/>
          <w:b/>
          <w:bCs/>
          <w:color w:val="auto"/>
          <w:kern w:val="2"/>
          <w:sz w:val="52"/>
          <w:szCs w:val="32"/>
          <w:highlight w:val="none"/>
          <w:lang w:val="en-US" w:eastAsia="zh-CN" w:bidi="ar-SA"/>
        </w:rPr>
        <w:t>第一章  自查表</w:t>
      </w:r>
      <w:bookmarkEnd w:id="117"/>
    </w:p>
    <w:p w14:paraId="31A5A315">
      <w:pPr>
        <w:spacing w:line="360" w:lineRule="auto"/>
        <w:rPr>
          <w:rFonts w:hint="eastAsia" w:ascii="宋体" w:hAnsi="宋体"/>
          <w:color w:val="auto"/>
          <w:highlight w:val="none"/>
        </w:rPr>
      </w:pPr>
    </w:p>
    <w:p w14:paraId="4B235F69">
      <w:pPr>
        <w:spacing w:line="360" w:lineRule="auto"/>
        <w:rPr>
          <w:rFonts w:hint="eastAsia" w:ascii="宋体" w:hAnsi="宋体"/>
          <w:color w:val="auto"/>
          <w:highlight w:val="none"/>
        </w:rPr>
      </w:pPr>
    </w:p>
    <w:p w14:paraId="5B899188">
      <w:pPr>
        <w:rPr>
          <w:rFonts w:ascii="宋体" w:hAnsi="宋体"/>
          <w:color w:val="auto"/>
          <w:highlight w:val="none"/>
        </w:rPr>
      </w:pPr>
      <w:r>
        <w:rPr>
          <w:rFonts w:ascii="宋体" w:hAnsi="宋体"/>
          <w:color w:val="auto"/>
          <w:highlight w:val="none"/>
        </w:rPr>
        <w:br w:type="page"/>
      </w:r>
    </w:p>
    <w:p w14:paraId="531A7A99">
      <w:pPr>
        <w:pStyle w:val="4"/>
        <w:jc w:val="center"/>
        <w:rPr>
          <w:rFonts w:ascii="宋体" w:hAnsi="宋体" w:cs="宋体"/>
          <w:color w:val="auto"/>
          <w:szCs w:val="24"/>
          <w:highlight w:val="none"/>
        </w:rPr>
      </w:pPr>
      <w:r>
        <w:rPr>
          <w:rFonts w:hint="eastAsia" w:ascii="宋体" w:hAnsi="宋体" w:cs="宋体"/>
          <w:color w:val="auto"/>
          <w:sz w:val="28"/>
          <w:szCs w:val="28"/>
          <w:highlight w:val="none"/>
        </w:rPr>
        <w:t>1.1 供应商磋商资格符合性自查表</w:t>
      </w:r>
    </w:p>
    <w:tbl>
      <w:tblPr>
        <w:tblStyle w:val="1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15"/>
        <w:gridCol w:w="4910"/>
        <w:gridCol w:w="944"/>
        <w:gridCol w:w="1096"/>
        <w:gridCol w:w="1723"/>
      </w:tblGrid>
      <w:tr w14:paraId="4DA0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3" w:type="dxa"/>
            <w:gridSpan w:val="3"/>
            <w:vMerge w:val="restart"/>
            <w:shd w:val="clear" w:color="auto" w:fill="A4A4A4"/>
            <w:noWrap w:val="0"/>
            <w:vAlign w:val="center"/>
          </w:tcPr>
          <w:p w14:paraId="7AE0ADAD">
            <w:pPr>
              <w:spacing w:line="360" w:lineRule="auto"/>
              <w:jc w:val="center"/>
              <w:rPr>
                <w:rFonts w:ascii="宋体" w:hAnsi="宋体" w:cs="宋体"/>
                <w:color w:val="auto"/>
                <w:szCs w:val="24"/>
                <w:highlight w:val="none"/>
              </w:rPr>
            </w:pPr>
            <w:r>
              <w:rPr>
                <w:rFonts w:hint="eastAsia" w:ascii="宋体" w:hAnsi="宋体" w:cs="宋体"/>
                <w:b/>
                <w:bCs/>
                <w:color w:val="auto"/>
                <w:szCs w:val="24"/>
                <w:highlight w:val="none"/>
              </w:rPr>
              <w:t>采购文件要求</w:t>
            </w:r>
          </w:p>
        </w:tc>
        <w:tc>
          <w:tcPr>
            <w:tcW w:w="2040" w:type="dxa"/>
            <w:gridSpan w:val="2"/>
            <w:tcBorders>
              <w:bottom w:val="single" w:color="auto" w:sz="4" w:space="0"/>
            </w:tcBorders>
            <w:shd w:val="clear" w:color="auto" w:fill="A4A4A4"/>
            <w:noWrap w:val="0"/>
            <w:vAlign w:val="center"/>
          </w:tcPr>
          <w:p w14:paraId="07AEE0C6">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自查结论</w:t>
            </w:r>
          </w:p>
        </w:tc>
        <w:tc>
          <w:tcPr>
            <w:tcW w:w="1723" w:type="dxa"/>
            <w:vMerge w:val="restart"/>
            <w:shd w:val="clear" w:color="auto" w:fill="A4A4A4"/>
            <w:noWrap w:val="0"/>
            <w:vAlign w:val="center"/>
          </w:tcPr>
          <w:p w14:paraId="5AA079B1">
            <w:pPr>
              <w:spacing w:line="360" w:lineRule="auto"/>
              <w:ind w:right="10" w:rightChars="4"/>
              <w:jc w:val="center"/>
              <w:rPr>
                <w:rFonts w:ascii="宋体" w:hAnsi="宋体" w:cs="宋体"/>
                <w:b/>
                <w:bCs/>
                <w:color w:val="auto"/>
                <w:szCs w:val="24"/>
                <w:highlight w:val="none"/>
              </w:rPr>
            </w:pPr>
            <w:r>
              <w:rPr>
                <w:rFonts w:hint="eastAsia" w:ascii="宋体" w:hAnsi="宋体" w:cs="宋体"/>
                <w:b/>
                <w:bCs/>
                <w:color w:val="auto"/>
                <w:szCs w:val="24"/>
                <w:highlight w:val="none"/>
              </w:rPr>
              <w:t>证明资料</w:t>
            </w:r>
          </w:p>
          <w:p w14:paraId="7FB16CEE">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所在页码</w:t>
            </w:r>
          </w:p>
          <w:p w14:paraId="7552E331">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w:t>
            </w:r>
            <w:r>
              <w:rPr>
                <w:rFonts w:hint="eastAsia" w:ascii="宋体" w:hAnsi="宋体" w:cs="宋体"/>
                <w:b/>
                <w:color w:val="auto"/>
                <w:szCs w:val="24"/>
                <w:highlight w:val="none"/>
              </w:rPr>
              <w:t>见响应文件</w:t>
            </w:r>
            <w:r>
              <w:rPr>
                <w:rFonts w:hint="eastAsia" w:ascii="宋体" w:hAnsi="宋体" w:cs="宋体"/>
                <w:b/>
                <w:bCs/>
                <w:color w:val="auto"/>
                <w:szCs w:val="24"/>
                <w:highlight w:val="none"/>
              </w:rPr>
              <w:t>)</w:t>
            </w:r>
          </w:p>
        </w:tc>
      </w:tr>
      <w:tr w14:paraId="08D4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3" w:type="dxa"/>
            <w:gridSpan w:val="3"/>
            <w:vMerge w:val="continue"/>
            <w:shd w:val="clear" w:color="auto" w:fill="auto"/>
            <w:noWrap w:val="0"/>
            <w:vAlign w:val="center"/>
          </w:tcPr>
          <w:p w14:paraId="2E41D22B">
            <w:pPr>
              <w:spacing w:line="360" w:lineRule="auto"/>
              <w:jc w:val="center"/>
              <w:rPr>
                <w:rFonts w:ascii="宋体" w:hAnsi="宋体" w:cs="宋体"/>
                <w:b/>
                <w:bCs/>
                <w:color w:val="auto"/>
                <w:szCs w:val="24"/>
                <w:highlight w:val="none"/>
              </w:rPr>
            </w:pPr>
          </w:p>
        </w:tc>
        <w:tc>
          <w:tcPr>
            <w:tcW w:w="944" w:type="dxa"/>
            <w:tcBorders>
              <w:bottom w:val="single" w:color="auto" w:sz="4" w:space="0"/>
            </w:tcBorders>
            <w:shd w:val="clear" w:color="auto" w:fill="A4A4A4"/>
            <w:noWrap w:val="0"/>
            <w:vAlign w:val="center"/>
          </w:tcPr>
          <w:p w14:paraId="5CCE85D5">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通过</w:t>
            </w:r>
          </w:p>
        </w:tc>
        <w:tc>
          <w:tcPr>
            <w:tcW w:w="1096" w:type="dxa"/>
            <w:tcBorders>
              <w:bottom w:val="single" w:color="auto" w:sz="4" w:space="0"/>
            </w:tcBorders>
            <w:shd w:val="clear" w:color="auto" w:fill="A4A4A4"/>
            <w:noWrap w:val="0"/>
            <w:vAlign w:val="center"/>
          </w:tcPr>
          <w:p w14:paraId="631CCDD7">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不通过</w:t>
            </w:r>
          </w:p>
        </w:tc>
        <w:tc>
          <w:tcPr>
            <w:tcW w:w="1723" w:type="dxa"/>
            <w:vMerge w:val="continue"/>
            <w:noWrap w:val="0"/>
            <w:vAlign w:val="center"/>
          </w:tcPr>
          <w:p w14:paraId="0CA26FA9">
            <w:pPr>
              <w:spacing w:line="360" w:lineRule="auto"/>
              <w:ind w:right="10" w:rightChars="4"/>
              <w:jc w:val="center"/>
              <w:rPr>
                <w:rFonts w:ascii="宋体" w:hAnsi="宋体" w:cs="宋体"/>
                <w:b/>
                <w:bCs/>
                <w:color w:val="auto"/>
                <w:szCs w:val="24"/>
                <w:highlight w:val="none"/>
              </w:rPr>
            </w:pPr>
          </w:p>
        </w:tc>
      </w:tr>
      <w:tr w14:paraId="01E2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restart"/>
            <w:noWrap w:val="0"/>
            <w:vAlign w:val="center"/>
          </w:tcPr>
          <w:p w14:paraId="5B416B1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资格性</w:t>
            </w:r>
          </w:p>
          <w:p w14:paraId="35EC728B">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审查</w:t>
            </w:r>
          </w:p>
        </w:tc>
        <w:tc>
          <w:tcPr>
            <w:tcW w:w="515" w:type="dxa"/>
            <w:noWrap w:val="0"/>
            <w:vAlign w:val="center"/>
          </w:tcPr>
          <w:p w14:paraId="5A387E1D">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4910" w:type="dxa"/>
            <w:noWrap w:val="0"/>
            <w:vAlign w:val="center"/>
          </w:tcPr>
          <w:p w14:paraId="545E30C9">
            <w:pPr>
              <w:widowControl w:val="0"/>
              <w:spacing w:line="24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具备以下条件：</w:t>
            </w:r>
          </w:p>
          <w:p w14:paraId="6F44489B">
            <w:pPr>
              <w:tabs>
                <w:tab w:val="left" w:pos="2880"/>
              </w:tabs>
              <w:spacing w:line="240" w:lineRule="auto"/>
              <w:ind w:left="46" w:leftChars="19"/>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（1）具有独立承担民事责任的能力：在中华人民共和国境内注册的法人或其他组织或自然人，投标（响应）时提交有效的营业执照（或事业法人登记证或身份证等相关证明）副本扫描件；</w:t>
            </w:r>
          </w:p>
          <w:p w14:paraId="25071501">
            <w:pPr>
              <w:tabs>
                <w:tab w:val="left" w:pos="2880"/>
              </w:tabs>
              <w:spacing w:line="240" w:lineRule="auto"/>
              <w:ind w:left="46" w:leftChars="19"/>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有依法缴纳税收和社会保障资金的良好记录：提供以下两种证明材料之一：1.提供《资格声明函》，具体要求详见采购公告附件；2.提供投标截止日前6个月内任意1个月依法缴纳税收和社会保障资金的相关材料。如依法免税或不需要缴纳社会保障资金的，提供相应证明材料；</w:t>
            </w:r>
          </w:p>
          <w:p w14:paraId="21912482">
            <w:pPr>
              <w:tabs>
                <w:tab w:val="left" w:pos="2880"/>
              </w:tabs>
              <w:spacing w:line="240" w:lineRule="auto"/>
              <w:ind w:left="46" w:leftChars="19"/>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具有良好的商业信誉和健全的财务会计制度：供应商必须具有良好的商业信誉和健全的财务会计制度（提供以下三种证明材料之一：1.提供《资格声明函》，具体要求详见响应文件格式；2.提供2022或2023年度财务状况报告，财务状况报告须由第三方会计师事务所出具，能清晰显示第三方会计师事务所的印章，并能反映审计结论；3.提供投标截止日前6个月内基本开户银行出具的资信证明，并同时提交开户（基本户）许可证扫描件，开户（基本户）许可证已取消的，应提供能体现基本开户银行的“基本存款账户编号”的相关证明。）；</w:t>
            </w:r>
          </w:p>
          <w:p w14:paraId="38EA0C46">
            <w:pPr>
              <w:tabs>
                <w:tab w:val="left" w:pos="2880"/>
              </w:tabs>
              <w:spacing w:line="240" w:lineRule="auto"/>
              <w:ind w:left="46" w:leftChars="19"/>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（4）履行合同所必需的设备和专业技术能力：提供《资格声明函》；</w:t>
            </w:r>
          </w:p>
          <w:p w14:paraId="7D763D93">
            <w:pPr>
              <w:tabs>
                <w:tab w:val="left" w:pos="2880"/>
              </w:tabs>
              <w:spacing w:line="240" w:lineRule="auto"/>
              <w:ind w:left="46" w:leftChars="19"/>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（5）参加投标活动前3年内，在经营活动中没有重大违法记录：提供《资格声明函》。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47C4C4C">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eastAsia="宋体" w:cs="宋体"/>
                <w:kern w:val="2"/>
                <w:sz w:val="21"/>
                <w:szCs w:val="21"/>
                <w:highlight w:val="none"/>
                <w:lang w:val="en-US" w:eastAsia="zh-CN" w:bidi="ar-SA"/>
              </w:rPr>
              <w:t>（6）法律、行政法规规定的其他条件。</w:t>
            </w:r>
          </w:p>
        </w:tc>
        <w:tc>
          <w:tcPr>
            <w:tcW w:w="944" w:type="dxa"/>
            <w:tcBorders>
              <w:top w:val="single" w:color="auto" w:sz="4" w:space="0"/>
            </w:tcBorders>
            <w:noWrap w:val="0"/>
            <w:vAlign w:val="center"/>
          </w:tcPr>
          <w:p w14:paraId="34BCE5DF">
            <w:pPr>
              <w:spacing w:line="360" w:lineRule="auto"/>
              <w:jc w:val="center"/>
              <w:rPr>
                <w:rFonts w:ascii="宋体" w:hAnsi="宋体" w:cs="宋体"/>
                <w:b/>
                <w:color w:val="auto"/>
                <w:szCs w:val="24"/>
                <w:highlight w:val="none"/>
              </w:rPr>
            </w:pPr>
          </w:p>
        </w:tc>
        <w:tc>
          <w:tcPr>
            <w:tcW w:w="1096" w:type="dxa"/>
            <w:tcBorders>
              <w:top w:val="single" w:color="auto" w:sz="4" w:space="0"/>
            </w:tcBorders>
            <w:noWrap w:val="0"/>
            <w:vAlign w:val="center"/>
          </w:tcPr>
          <w:p w14:paraId="5D0BB458">
            <w:pPr>
              <w:spacing w:line="360" w:lineRule="auto"/>
              <w:jc w:val="center"/>
              <w:rPr>
                <w:rFonts w:ascii="宋体" w:hAnsi="宋体" w:cs="宋体"/>
                <w:b/>
                <w:color w:val="auto"/>
                <w:szCs w:val="24"/>
                <w:highlight w:val="none"/>
              </w:rPr>
            </w:pPr>
          </w:p>
        </w:tc>
        <w:tc>
          <w:tcPr>
            <w:tcW w:w="1723" w:type="dxa"/>
            <w:noWrap w:val="0"/>
            <w:vAlign w:val="center"/>
          </w:tcPr>
          <w:p w14:paraId="4C0D0386">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4E6A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noWrap w:val="0"/>
            <w:vAlign w:val="center"/>
          </w:tcPr>
          <w:p w14:paraId="1BC4F8A0">
            <w:pPr>
              <w:spacing w:line="360" w:lineRule="auto"/>
              <w:jc w:val="center"/>
              <w:rPr>
                <w:rFonts w:ascii="宋体" w:hAnsi="宋体" w:cs="宋体"/>
                <w:color w:val="auto"/>
                <w:szCs w:val="24"/>
                <w:highlight w:val="none"/>
              </w:rPr>
            </w:pPr>
          </w:p>
        </w:tc>
        <w:tc>
          <w:tcPr>
            <w:tcW w:w="515" w:type="dxa"/>
            <w:noWrap w:val="0"/>
            <w:vAlign w:val="center"/>
          </w:tcPr>
          <w:p w14:paraId="07675FEC">
            <w:pPr>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w:t>
            </w:r>
          </w:p>
        </w:tc>
        <w:tc>
          <w:tcPr>
            <w:tcW w:w="4910" w:type="dxa"/>
            <w:noWrap w:val="0"/>
            <w:vAlign w:val="center"/>
          </w:tcPr>
          <w:p w14:paraId="1606D0A0">
            <w:pPr>
              <w:tabs>
                <w:tab w:val="left" w:pos="2880"/>
              </w:tabs>
              <w:spacing w:line="240" w:lineRule="auto"/>
              <w:ind w:left="46" w:leftChars="19"/>
              <w:jc w:val="left"/>
              <w:rPr>
                <w:rFonts w:hint="eastAsia" w:ascii="宋体" w:hAnsi="宋体" w:eastAsia="宋体" w:cs="宋体"/>
                <w:color w:val="auto"/>
                <w:sz w:val="21"/>
                <w:szCs w:val="21"/>
                <w:highlight w:val="none"/>
                <w:lang w:eastAsia="zh-CN"/>
              </w:rPr>
            </w:pPr>
            <w:r>
              <w:rPr>
                <w:rFonts w:hint="eastAsia" w:ascii="宋体" w:hAnsi="宋体" w:cs="宋体"/>
                <w:sz w:val="21"/>
                <w:szCs w:val="21"/>
                <w:highlight w:val="none"/>
                <w:lang w:val="hr-HR"/>
              </w:rPr>
              <w:t>供应商未被列入“信用中国”网站(www.creditchina.gov.cr)“记录失信被执行人或重大税收违法失信主体(即原“重大税收违法案件当事人名单”)”记录名单;不处于中国政府采购网(www.ccgp.gov.cn)“政府采购严重违法失信行为信息记录”中的禁止参加政府采购活动期间。(以采购代理机构于投标(响应)截止时间当天在“信用中国”网站(www.cieditchina.gov.cn)及中国政府采购网(http://www.ccgp.gov.cn/)查询结果为准，如相关失信记录已失效供应商需提供相关证明资料)</w:t>
            </w:r>
          </w:p>
        </w:tc>
        <w:tc>
          <w:tcPr>
            <w:tcW w:w="944" w:type="dxa"/>
            <w:noWrap w:val="0"/>
            <w:vAlign w:val="center"/>
          </w:tcPr>
          <w:p w14:paraId="3B0446D5">
            <w:pPr>
              <w:spacing w:line="360" w:lineRule="auto"/>
              <w:jc w:val="center"/>
              <w:rPr>
                <w:rFonts w:ascii="宋体" w:hAnsi="宋体" w:cs="宋体"/>
                <w:b/>
                <w:color w:val="auto"/>
                <w:szCs w:val="24"/>
                <w:highlight w:val="none"/>
              </w:rPr>
            </w:pPr>
          </w:p>
        </w:tc>
        <w:tc>
          <w:tcPr>
            <w:tcW w:w="1096" w:type="dxa"/>
            <w:noWrap w:val="0"/>
            <w:vAlign w:val="center"/>
          </w:tcPr>
          <w:p w14:paraId="24683212">
            <w:pPr>
              <w:spacing w:line="360" w:lineRule="auto"/>
              <w:jc w:val="center"/>
              <w:rPr>
                <w:rFonts w:ascii="宋体" w:hAnsi="宋体" w:cs="宋体"/>
                <w:b/>
                <w:color w:val="auto"/>
                <w:szCs w:val="24"/>
                <w:highlight w:val="none"/>
              </w:rPr>
            </w:pPr>
          </w:p>
        </w:tc>
        <w:tc>
          <w:tcPr>
            <w:tcW w:w="1723" w:type="dxa"/>
            <w:noWrap w:val="0"/>
            <w:vAlign w:val="center"/>
          </w:tcPr>
          <w:p w14:paraId="628C989A">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5CA1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noWrap w:val="0"/>
            <w:vAlign w:val="center"/>
          </w:tcPr>
          <w:p w14:paraId="7B8D557E">
            <w:pPr>
              <w:spacing w:line="360" w:lineRule="auto"/>
              <w:jc w:val="center"/>
              <w:rPr>
                <w:rFonts w:ascii="宋体" w:hAnsi="宋体" w:cs="宋体"/>
                <w:color w:val="auto"/>
                <w:szCs w:val="24"/>
                <w:highlight w:val="none"/>
              </w:rPr>
            </w:pPr>
          </w:p>
        </w:tc>
        <w:tc>
          <w:tcPr>
            <w:tcW w:w="515" w:type="dxa"/>
            <w:noWrap w:val="0"/>
            <w:vAlign w:val="center"/>
          </w:tcPr>
          <w:p w14:paraId="07C1D907">
            <w:pPr>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3</w:t>
            </w:r>
          </w:p>
        </w:tc>
        <w:tc>
          <w:tcPr>
            <w:tcW w:w="4910" w:type="dxa"/>
            <w:noWrap w:val="0"/>
            <w:vAlign w:val="center"/>
          </w:tcPr>
          <w:p w14:paraId="757EB0C6">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为采购项目提供整体设计、规范编制或者项目管理、监理、检测等服务的供应商，不得再参加该采购项目/包组的其他采购活动。</w:t>
            </w:r>
          </w:p>
        </w:tc>
        <w:tc>
          <w:tcPr>
            <w:tcW w:w="944" w:type="dxa"/>
            <w:noWrap w:val="0"/>
            <w:vAlign w:val="center"/>
          </w:tcPr>
          <w:p w14:paraId="0A75AEE0">
            <w:pPr>
              <w:spacing w:line="360" w:lineRule="auto"/>
              <w:jc w:val="center"/>
              <w:rPr>
                <w:rFonts w:ascii="宋体" w:hAnsi="宋体" w:cs="宋体"/>
                <w:b/>
                <w:color w:val="auto"/>
                <w:szCs w:val="24"/>
                <w:highlight w:val="none"/>
              </w:rPr>
            </w:pPr>
          </w:p>
        </w:tc>
        <w:tc>
          <w:tcPr>
            <w:tcW w:w="1096" w:type="dxa"/>
            <w:noWrap w:val="0"/>
            <w:vAlign w:val="center"/>
          </w:tcPr>
          <w:p w14:paraId="1305FAA7">
            <w:pPr>
              <w:spacing w:line="360" w:lineRule="auto"/>
              <w:jc w:val="center"/>
              <w:rPr>
                <w:rFonts w:ascii="宋体" w:hAnsi="宋体" w:cs="宋体"/>
                <w:b/>
                <w:color w:val="auto"/>
                <w:szCs w:val="24"/>
                <w:highlight w:val="none"/>
              </w:rPr>
            </w:pPr>
          </w:p>
        </w:tc>
        <w:tc>
          <w:tcPr>
            <w:tcW w:w="1723" w:type="dxa"/>
            <w:noWrap w:val="0"/>
            <w:vAlign w:val="center"/>
          </w:tcPr>
          <w:p w14:paraId="0AF262B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34D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18" w:type="dxa"/>
            <w:vMerge w:val="continue"/>
            <w:noWrap w:val="0"/>
            <w:vAlign w:val="center"/>
          </w:tcPr>
          <w:p w14:paraId="7CE40037">
            <w:pPr>
              <w:spacing w:line="360" w:lineRule="auto"/>
              <w:jc w:val="center"/>
              <w:rPr>
                <w:rFonts w:ascii="宋体" w:hAnsi="宋体" w:cs="宋体"/>
                <w:color w:val="auto"/>
                <w:szCs w:val="24"/>
                <w:highlight w:val="none"/>
              </w:rPr>
            </w:pPr>
          </w:p>
        </w:tc>
        <w:tc>
          <w:tcPr>
            <w:tcW w:w="515" w:type="dxa"/>
            <w:noWrap w:val="0"/>
            <w:vAlign w:val="center"/>
          </w:tcPr>
          <w:p w14:paraId="5017015F">
            <w:pPr>
              <w:spacing w:line="360" w:lineRule="auto"/>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4910" w:type="dxa"/>
            <w:noWrap w:val="0"/>
            <w:vAlign w:val="center"/>
          </w:tcPr>
          <w:p w14:paraId="09E68C44">
            <w:pPr>
              <w:spacing w:line="240" w:lineRule="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供应商须具有公安机关颁发的有效的《保安服务许可证》，若供应商为佛山市外的单位，参与本项目还须承诺：如在本项目中标，在开始提供保安服务之前取得服务所在地设区的市级（或以上）公安机关的备案回执。（响应文件中须提交有效的《保安服务许可证》证书复印件及对本条款内容有效承诺的承诺函&lt;格式自拟&gt;）。</w:t>
            </w:r>
          </w:p>
        </w:tc>
        <w:tc>
          <w:tcPr>
            <w:tcW w:w="944" w:type="dxa"/>
            <w:noWrap w:val="0"/>
            <w:vAlign w:val="center"/>
          </w:tcPr>
          <w:p w14:paraId="52C5E832">
            <w:pPr>
              <w:spacing w:line="360" w:lineRule="auto"/>
              <w:jc w:val="center"/>
              <w:rPr>
                <w:rFonts w:ascii="宋体" w:hAnsi="宋体" w:cs="宋体"/>
                <w:b/>
                <w:color w:val="auto"/>
                <w:szCs w:val="24"/>
                <w:highlight w:val="none"/>
              </w:rPr>
            </w:pPr>
          </w:p>
        </w:tc>
        <w:tc>
          <w:tcPr>
            <w:tcW w:w="1096" w:type="dxa"/>
            <w:noWrap w:val="0"/>
            <w:vAlign w:val="center"/>
          </w:tcPr>
          <w:p w14:paraId="763FF5D4">
            <w:pPr>
              <w:spacing w:line="360" w:lineRule="auto"/>
              <w:jc w:val="center"/>
              <w:rPr>
                <w:rFonts w:ascii="宋体" w:hAnsi="宋体" w:cs="宋体"/>
                <w:b/>
                <w:color w:val="auto"/>
                <w:szCs w:val="24"/>
                <w:highlight w:val="none"/>
              </w:rPr>
            </w:pPr>
          </w:p>
        </w:tc>
        <w:tc>
          <w:tcPr>
            <w:tcW w:w="1723" w:type="dxa"/>
            <w:noWrap w:val="0"/>
            <w:vAlign w:val="center"/>
          </w:tcPr>
          <w:p w14:paraId="133B9B76">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14:paraId="6941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18" w:type="dxa"/>
            <w:vMerge w:val="continue"/>
            <w:noWrap w:val="0"/>
            <w:vAlign w:val="center"/>
          </w:tcPr>
          <w:p w14:paraId="56A3B55E">
            <w:pPr>
              <w:spacing w:line="360" w:lineRule="auto"/>
              <w:jc w:val="center"/>
              <w:rPr>
                <w:rFonts w:ascii="宋体" w:hAnsi="宋体" w:cs="宋体"/>
                <w:color w:val="auto"/>
                <w:szCs w:val="24"/>
                <w:highlight w:val="none"/>
              </w:rPr>
            </w:pPr>
          </w:p>
        </w:tc>
        <w:tc>
          <w:tcPr>
            <w:tcW w:w="515" w:type="dxa"/>
            <w:noWrap w:val="0"/>
            <w:vAlign w:val="center"/>
          </w:tcPr>
          <w:p w14:paraId="5E0695C5">
            <w:pPr>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4910" w:type="dxa"/>
            <w:noWrap w:val="0"/>
            <w:vAlign w:val="center"/>
          </w:tcPr>
          <w:p w14:paraId="418432D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tc>
        <w:tc>
          <w:tcPr>
            <w:tcW w:w="944" w:type="dxa"/>
            <w:noWrap w:val="0"/>
            <w:vAlign w:val="center"/>
          </w:tcPr>
          <w:p w14:paraId="390543BD">
            <w:pPr>
              <w:spacing w:line="360" w:lineRule="auto"/>
              <w:jc w:val="center"/>
              <w:rPr>
                <w:rFonts w:ascii="宋体" w:hAnsi="宋体" w:cs="宋体"/>
                <w:b/>
                <w:color w:val="auto"/>
                <w:szCs w:val="24"/>
                <w:highlight w:val="none"/>
              </w:rPr>
            </w:pPr>
          </w:p>
        </w:tc>
        <w:tc>
          <w:tcPr>
            <w:tcW w:w="1096" w:type="dxa"/>
            <w:noWrap w:val="0"/>
            <w:vAlign w:val="center"/>
          </w:tcPr>
          <w:p w14:paraId="65CD1C3F">
            <w:pPr>
              <w:spacing w:line="360" w:lineRule="auto"/>
              <w:jc w:val="center"/>
              <w:rPr>
                <w:rFonts w:ascii="宋体" w:hAnsi="宋体" w:cs="宋体"/>
                <w:b/>
                <w:color w:val="auto"/>
                <w:szCs w:val="24"/>
                <w:highlight w:val="none"/>
              </w:rPr>
            </w:pPr>
          </w:p>
        </w:tc>
        <w:tc>
          <w:tcPr>
            <w:tcW w:w="1723" w:type="dxa"/>
            <w:noWrap w:val="0"/>
            <w:vAlign w:val="center"/>
          </w:tcPr>
          <w:p w14:paraId="669FC804">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14:paraId="019A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618" w:type="dxa"/>
            <w:vMerge w:val="continue"/>
            <w:noWrap w:val="0"/>
            <w:vAlign w:val="center"/>
          </w:tcPr>
          <w:p w14:paraId="5AFB9D51">
            <w:pPr>
              <w:spacing w:line="360" w:lineRule="auto"/>
              <w:jc w:val="center"/>
              <w:rPr>
                <w:rFonts w:ascii="宋体" w:hAnsi="宋体" w:cs="宋体"/>
                <w:color w:val="auto"/>
                <w:szCs w:val="24"/>
                <w:highlight w:val="none"/>
              </w:rPr>
            </w:pPr>
          </w:p>
        </w:tc>
        <w:tc>
          <w:tcPr>
            <w:tcW w:w="515" w:type="dxa"/>
            <w:noWrap w:val="0"/>
            <w:vAlign w:val="center"/>
          </w:tcPr>
          <w:p w14:paraId="02EE2776">
            <w:pPr>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4910" w:type="dxa"/>
            <w:noWrap w:val="0"/>
            <w:vAlign w:val="center"/>
          </w:tcPr>
          <w:p w14:paraId="5E50C4C5">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本采购包专门面向中小企业采购,供应商应为中小微企业（符合要求的供应商须提供《中小企业声明函》）。本项目采购标对应的中小企业划分标准所属行业：租赁和商务服务业。</w:t>
            </w:r>
          </w:p>
        </w:tc>
        <w:tc>
          <w:tcPr>
            <w:tcW w:w="944" w:type="dxa"/>
            <w:noWrap w:val="0"/>
            <w:vAlign w:val="center"/>
          </w:tcPr>
          <w:p w14:paraId="51392A00">
            <w:pPr>
              <w:spacing w:line="360" w:lineRule="auto"/>
              <w:jc w:val="center"/>
              <w:rPr>
                <w:rFonts w:ascii="宋体" w:hAnsi="宋体" w:cs="宋体"/>
                <w:b/>
                <w:color w:val="auto"/>
                <w:szCs w:val="24"/>
                <w:highlight w:val="none"/>
              </w:rPr>
            </w:pPr>
          </w:p>
        </w:tc>
        <w:tc>
          <w:tcPr>
            <w:tcW w:w="1096" w:type="dxa"/>
            <w:noWrap w:val="0"/>
            <w:vAlign w:val="center"/>
          </w:tcPr>
          <w:p w14:paraId="3A2C6A20">
            <w:pPr>
              <w:spacing w:line="360" w:lineRule="auto"/>
              <w:jc w:val="center"/>
              <w:rPr>
                <w:rFonts w:ascii="宋体" w:hAnsi="宋体" w:cs="宋体"/>
                <w:b/>
                <w:color w:val="auto"/>
                <w:szCs w:val="24"/>
                <w:highlight w:val="none"/>
              </w:rPr>
            </w:pPr>
          </w:p>
        </w:tc>
        <w:tc>
          <w:tcPr>
            <w:tcW w:w="1723" w:type="dxa"/>
            <w:noWrap w:val="0"/>
            <w:vAlign w:val="center"/>
          </w:tcPr>
          <w:p w14:paraId="5C363371">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14:paraId="3E7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restart"/>
            <w:noWrap w:val="0"/>
            <w:vAlign w:val="center"/>
          </w:tcPr>
          <w:p w14:paraId="78E9C311">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符合性</w:t>
            </w:r>
          </w:p>
          <w:p w14:paraId="34CB3678">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审查</w:t>
            </w:r>
          </w:p>
        </w:tc>
        <w:tc>
          <w:tcPr>
            <w:tcW w:w="515" w:type="dxa"/>
            <w:noWrap w:val="0"/>
            <w:vAlign w:val="center"/>
          </w:tcPr>
          <w:p w14:paraId="78DCDBDC">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4910" w:type="dxa"/>
            <w:noWrap w:val="0"/>
            <w:vAlign w:val="center"/>
          </w:tcPr>
          <w:p w14:paraId="77B84B6F">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按照磋商文件规定要求签署、盖章且</w:t>
            </w: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rPr>
              <w:t>文件有法定代表人签字或盖章（或签字人有法定代表人有效授权书）的；</w:t>
            </w:r>
          </w:p>
        </w:tc>
        <w:tc>
          <w:tcPr>
            <w:tcW w:w="944" w:type="dxa"/>
            <w:noWrap w:val="0"/>
            <w:vAlign w:val="center"/>
          </w:tcPr>
          <w:p w14:paraId="46E6C720">
            <w:pPr>
              <w:spacing w:line="360" w:lineRule="auto"/>
              <w:ind w:firstLine="120" w:firstLineChars="50"/>
              <w:jc w:val="center"/>
              <w:rPr>
                <w:rFonts w:ascii="宋体" w:hAnsi="宋体" w:cs="宋体"/>
                <w:b/>
                <w:color w:val="auto"/>
                <w:szCs w:val="24"/>
                <w:highlight w:val="none"/>
              </w:rPr>
            </w:pPr>
          </w:p>
        </w:tc>
        <w:tc>
          <w:tcPr>
            <w:tcW w:w="1096" w:type="dxa"/>
            <w:noWrap w:val="0"/>
            <w:vAlign w:val="center"/>
          </w:tcPr>
          <w:p w14:paraId="1A90A5D3">
            <w:pPr>
              <w:spacing w:line="360" w:lineRule="auto"/>
              <w:ind w:firstLine="120" w:firstLineChars="50"/>
              <w:jc w:val="center"/>
              <w:rPr>
                <w:rFonts w:ascii="宋体" w:hAnsi="宋体" w:cs="宋体"/>
                <w:b/>
                <w:color w:val="auto"/>
                <w:szCs w:val="24"/>
                <w:highlight w:val="none"/>
              </w:rPr>
            </w:pPr>
          </w:p>
        </w:tc>
        <w:tc>
          <w:tcPr>
            <w:tcW w:w="1723" w:type="dxa"/>
            <w:noWrap w:val="0"/>
            <w:vAlign w:val="center"/>
          </w:tcPr>
          <w:p w14:paraId="73F52D5B">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201A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noWrap w:val="0"/>
            <w:vAlign w:val="center"/>
          </w:tcPr>
          <w:p w14:paraId="31BF6D2C">
            <w:pPr>
              <w:spacing w:line="360" w:lineRule="auto"/>
              <w:jc w:val="center"/>
              <w:rPr>
                <w:rFonts w:ascii="宋体" w:hAnsi="宋体" w:cs="宋体"/>
                <w:color w:val="auto"/>
                <w:szCs w:val="24"/>
                <w:highlight w:val="none"/>
              </w:rPr>
            </w:pPr>
          </w:p>
        </w:tc>
        <w:tc>
          <w:tcPr>
            <w:tcW w:w="515" w:type="dxa"/>
            <w:noWrap w:val="0"/>
            <w:vAlign w:val="center"/>
          </w:tcPr>
          <w:p w14:paraId="341F02C7">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2</w:t>
            </w:r>
          </w:p>
        </w:tc>
        <w:tc>
          <w:tcPr>
            <w:tcW w:w="4910" w:type="dxa"/>
            <w:noWrap w:val="0"/>
            <w:vAlign w:val="center"/>
          </w:tcPr>
          <w:p w14:paraId="6BE2DFCF">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磋商承诺函已提交并符合竞争性磋商文件要求的；</w:t>
            </w:r>
          </w:p>
        </w:tc>
        <w:tc>
          <w:tcPr>
            <w:tcW w:w="944" w:type="dxa"/>
            <w:noWrap w:val="0"/>
            <w:vAlign w:val="center"/>
          </w:tcPr>
          <w:p w14:paraId="0BD3C59E">
            <w:pPr>
              <w:spacing w:line="360" w:lineRule="auto"/>
              <w:ind w:firstLine="120" w:firstLineChars="50"/>
              <w:jc w:val="center"/>
              <w:rPr>
                <w:rFonts w:ascii="宋体" w:hAnsi="宋体" w:cs="宋体"/>
                <w:b/>
                <w:color w:val="auto"/>
                <w:szCs w:val="24"/>
                <w:highlight w:val="none"/>
              </w:rPr>
            </w:pPr>
          </w:p>
        </w:tc>
        <w:tc>
          <w:tcPr>
            <w:tcW w:w="1096" w:type="dxa"/>
            <w:noWrap w:val="0"/>
            <w:vAlign w:val="center"/>
          </w:tcPr>
          <w:p w14:paraId="09B0E092">
            <w:pPr>
              <w:spacing w:line="360" w:lineRule="auto"/>
              <w:ind w:firstLine="120" w:firstLineChars="50"/>
              <w:jc w:val="center"/>
              <w:rPr>
                <w:rFonts w:ascii="宋体" w:hAnsi="宋体" w:cs="宋体"/>
                <w:b/>
                <w:color w:val="auto"/>
                <w:szCs w:val="24"/>
                <w:highlight w:val="none"/>
              </w:rPr>
            </w:pPr>
          </w:p>
        </w:tc>
        <w:tc>
          <w:tcPr>
            <w:tcW w:w="1723" w:type="dxa"/>
            <w:noWrap w:val="0"/>
            <w:vAlign w:val="center"/>
          </w:tcPr>
          <w:p w14:paraId="22545BB4">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693F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noWrap w:val="0"/>
            <w:vAlign w:val="center"/>
          </w:tcPr>
          <w:p w14:paraId="6D0BA759">
            <w:pPr>
              <w:spacing w:line="360" w:lineRule="auto"/>
              <w:rPr>
                <w:rFonts w:ascii="宋体" w:hAnsi="宋体" w:cs="宋体"/>
                <w:color w:val="auto"/>
                <w:szCs w:val="24"/>
                <w:highlight w:val="none"/>
              </w:rPr>
            </w:pPr>
          </w:p>
        </w:tc>
        <w:tc>
          <w:tcPr>
            <w:tcW w:w="515" w:type="dxa"/>
            <w:noWrap w:val="0"/>
            <w:vAlign w:val="center"/>
          </w:tcPr>
          <w:p w14:paraId="54A74FD6">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3</w:t>
            </w:r>
          </w:p>
        </w:tc>
        <w:tc>
          <w:tcPr>
            <w:tcW w:w="4910" w:type="dxa"/>
            <w:noWrap w:val="0"/>
            <w:vAlign w:val="center"/>
          </w:tcPr>
          <w:p w14:paraId="7BFDD121">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报价不高于</w:t>
            </w:r>
            <w:r>
              <w:rPr>
                <w:rFonts w:hint="eastAsia" w:ascii="宋体" w:hAnsi="宋体" w:cs="宋体"/>
                <w:color w:val="auto"/>
                <w:sz w:val="21"/>
                <w:szCs w:val="21"/>
                <w:highlight w:val="none"/>
                <w:lang w:val="en-US" w:eastAsia="zh-CN"/>
              </w:rPr>
              <w:t>项目最高投标限价</w:t>
            </w:r>
            <w:r>
              <w:rPr>
                <w:rFonts w:hint="eastAsia" w:ascii="宋体" w:hAnsi="宋体" w:cs="宋体"/>
                <w:color w:val="auto"/>
                <w:sz w:val="21"/>
                <w:szCs w:val="21"/>
                <w:highlight w:val="none"/>
              </w:rPr>
              <w:t>；</w:t>
            </w:r>
          </w:p>
        </w:tc>
        <w:tc>
          <w:tcPr>
            <w:tcW w:w="944" w:type="dxa"/>
            <w:noWrap w:val="0"/>
            <w:vAlign w:val="center"/>
          </w:tcPr>
          <w:p w14:paraId="71E5B109">
            <w:pPr>
              <w:spacing w:line="360" w:lineRule="auto"/>
              <w:ind w:firstLine="120" w:firstLineChars="50"/>
              <w:jc w:val="center"/>
              <w:rPr>
                <w:rFonts w:ascii="宋体" w:hAnsi="宋体" w:cs="宋体"/>
                <w:b/>
                <w:color w:val="auto"/>
                <w:szCs w:val="24"/>
                <w:highlight w:val="none"/>
              </w:rPr>
            </w:pPr>
          </w:p>
        </w:tc>
        <w:tc>
          <w:tcPr>
            <w:tcW w:w="1096" w:type="dxa"/>
            <w:noWrap w:val="0"/>
            <w:vAlign w:val="center"/>
          </w:tcPr>
          <w:p w14:paraId="5F4EF7F8">
            <w:pPr>
              <w:spacing w:line="360" w:lineRule="auto"/>
              <w:ind w:firstLine="120" w:firstLineChars="50"/>
              <w:jc w:val="center"/>
              <w:rPr>
                <w:rFonts w:ascii="宋体" w:hAnsi="宋体" w:cs="宋体"/>
                <w:b/>
                <w:color w:val="auto"/>
                <w:szCs w:val="24"/>
                <w:highlight w:val="none"/>
              </w:rPr>
            </w:pPr>
          </w:p>
        </w:tc>
        <w:tc>
          <w:tcPr>
            <w:tcW w:w="1723" w:type="dxa"/>
            <w:noWrap w:val="0"/>
            <w:vAlign w:val="center"/>
          </w:tcPr>
          <w:p w14:paraId="770B6F02">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4E3C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vMerge w:val="continue"/>
            <w:noWrap w:val="0"/>
            <w:vAlign w:val="center"/>
          </w:tcPr>
          <w:p w14:paraId="47CF1A05">
            <w:pPr>
              <w:spacing w:line="360" w:lineRule="auto"/>
              <w:rPr>
                <w:rFonts w:ascii="宋体" w:hAnsi="宋体" w:cs="宋体"/>
                <w:color w:val="auto"/>
                <w:szCs w:val="24"/>
                <w:highlight w:val="none"/>
              </w:rPr>
            </w:pPr>
          </w:p>
        </w:tc>
        <w:tc>
          <w:tcPr>
            <w:tcW w:w="515" w:type="dxa"/>
            <w:noWrap w:val="0"/>
            <w:vAlign w:val="center"/>
          </w:tcPr>
          <w:p w14:paraId="28A0ED4D">
            <w:pPr>
              <w:spacing w:line="360" w:lineRule="auto"/>
              <w:ind w:left="72" w:leftChars="30" w:right="50" w:rightChars="21"/>
              <w:jc w:val="center"/>
              <w:rPr>
                <w:rFonts w:ascii="宋体" w:hAnsi="宋体" w:cs="宋体"/>
                <w:color w:val="auto"/>
                <w:szCs w:val="24"/>
                <w:highlight w:val="none"/>
              </w:rPr>
            </w:pPr>
            <w:r>
              <w:rPr>
                <w:rFonts w:hint="eastAsia" w:ascii="宋体" w:hAnsi="宋体" w:cs="宋体"/>
                <w:color w:val="auto"/>
                <w:szCs w:val="24"/>
                <w:highlight w:val="none"/>
              </w:rPr>
              <w:t>4</w:t>
            </w:r>
          </w:p>
        </w:tc>
        <w:tc>
          <w:tcPr>
            <w:tcW w:w="4910" w:type="dxa"/>
            <w:noWrap w:val="0"/>
            <w:vAlign w:val="center"/>
          </w:tcPr>
          <w:p w14:paraId="6981FBC2">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响应文件没有竞争性磋商文件中规定的其它无效磋商条款的；</w:t>
            </w:r>
          </w:p>
        </w:tc>
        <w:tc>
          <w:tcPr>
            <w:tcW w:w="944" w:type="dxa"/>
            <w:noWrap w:val="0"/>
            <w:vAlign w:val="center"/>
          </w:tcPr>
          <w:p w14:paraId="11F96CD6">
            <w:pPr>
              <w:spacing w:line="360" w:lineRule="auto"/>
              <w:ind w:firstLine="120" w:firstLineChars="50"/>
              <w:jc w:val="center"/>
              <w:rPr>
                <w:rFonts w:ascii="宋体" w:hAnsi="宋体" w:cs="宋体"/>
                <w:b/>
                <w:color w:val="auto"/>
                <w:szCs w:val="24"/>
                <w:highlight w:val="none"/>
              </w:rPr>
            </w:pPr>
          </w:p>
        </w:tc>
        <w:tc>
          <w:tcPr>
            <w:tcW w:w="1096" w:type="dxa"/>
            <w:noWrap w:val="0"/>
            <w:vAlign w:val="center"/>
          </w:tcPr>
          <w:p w14:paraId="2AA24E01">
            <w:pPr>
              <w:spacing w:line="360" w:lineRule="auto"/>
              <w:ind w:firstLine="120" w:firstLineChars="50"/>
              <w:jc w:val="center"/>
              <w:rPr>
                <w:rFonts w:ascii="宋体" w:hAnsi="宋体" w:cs="宋体"/>
                <w:b/>
                <w:color w:val="auto"/>
                <w:szCs w:val="24"/>
                <w:highlight w:val="none"/>
              </w:rPr>
            </w:pPr>
          </w:p>
        </w:tc>
        <w:tc>
          <w:tcPr>
            <w:tcW w:w="1723" w:type="dxa"/>
            <w:noWrap w:val="0"/>
            <w:vAlign w:val="center"/>
          </w:tcPr>
          <w:p w14:paraId="6F86DA21">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14:paraId="0EC1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noWrap w:val="0"/>
            <w:vAlign w:val="center"/>
          </w:tcPr>
          <w:p w14:paraId="1D6A5779">
            <w:pPr>
              <w:spacing w:line="360" w:lineRule="auto"/>
              <w:rPr>
                <w:rFonts w:ascii="宋体" w:hAnsi="宋体" w:cs="宋体"/>
                <w:color w:val="auto"/>
                <w:szCs w:val="24"/>
                <w:highlight w:val="none"/>
              </w:rPr>
            </w:pPr>
          </w:p>
        </w:tc>
        <w:tc>
          <w:tcPr>
            <w:tcW w:w="515" w:type="dxa"/>
            <w:noWrap w:val="0"/>
            <w:vAlign w:val="center"/>
          </w:tcPr>
          <w:p w14:paraId="20780F1F">
            <w:pPr>
              <w:spacing w:line="360" w:lineRule="auto"/>
              <w:ind w:left="72" w:leftChars="30" w:right="50" w:rightChars="21"/>
              <w:jc w:val="center"/>
              <w:rPr>
                <w:rFonts w:ascii="宋体" w:hAnsi="宋体" w:cs="宋体"/>
                <w:color w:val="auto"/>
                <w:szCs w:val="24"/>
                <w:highlight w:val="none"/>
              </w:rPr>
            </w:pPr>
            <w:r>
              <w:rPr>
                <w:rFonts w:hint="eastAsia" w:ascii="宋体" w:hAnsi="宋体" w:cs="宋体"/>
                <w:color w:val="auto"/>
                <w:szCs w:val="24"/>
                <w:highlight w:val="none"/>
              </w:rPr>
              <w:t>5</w:t>
            </w:r>
          </w:p>
        </w:tc>
        <w:tc>
          <w:tcPr>
            <w:tcW w:w="4910" w:type="dxa"/>
            <w:noWrap w:val="0"/>
            <w:vAlign w:val="center"/>
          </w:tcPr>
          <w:p w14:paraId="2F0596B3">
            <w:pPr>
              <w:tabs>
                <w:tab w:val="left" w:pos="2880"/>
              </w:tabs>
              <w:spacing w:line="240" w:lineRule="auto"/>
              <w:ind w:left="46" w:leftChars="19"/>
              <w:jc w:val="left"/>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按有关法律、法规、规章不属于磋商无效的。</w:t>
            </w:r>
          </w:p>
        </w:tc>
        <w:tc>
          <w:tcPr>
            <w:tcW w:w="944" w:type="dxa"/>
            <w:noWrap w:val="0"/>
            <w:vAlign w:val="center"/>
          </w:tcPr>
          <w:p w14:paraId="4432F9A7">
            <w:pPr>
              <w:spacing w:line="360" w:lineRule="auto"/>
              <w:ind w:firstLine="120" w:firstLineChars="50"/>
              <w:jc w:val="center"/>
              <w:rPr>
                <w:rFonts w:ascii="宋体" w:hAnsi="宋体" w:cs="宋体"/>
                <w:b/>
                <w:color w:val="auto"/>
                <w:szCs w:val="24"/>
                <w:highlight w:val="none"/>
              </w:rPr>
            </w:pPr>
          </w:p>
        </w:tc>
        <w:tc>
          <w:tcPr>
            <w:tcW w:w="1096" w:type="dxa"/>
            <w:noWrap w:val="0"/>
            <w:vAlign w:val="center"/>
          </w:tcPr>
          <w:p w14:paraId="3CA9D741">
            <w:pPr>
              <w:spacing w:line="360" w:lineRule="auto"/>
              <w:ind w:firstLine="120" w:firstLineChars="50"/>
              <w:jc w:val="center"/>
              <w:rPr>
                <w:rFonts w:ascii="宋体" w:hAnsi="宋体" w:cs="宋体"/>
                <w:b/>
                <w:color w:val="auto"/>
                <w:szCs w:val="24"/>
                <w:highlight w:val="none"/>
              </w:rPr>
            </w:pPr>
          </w:p>
        </w:tc>
        <w:tc>
          <w:tcPr>
            <w:tcW w:w="1723" w:type="dxa"/>
            <w:noWrap w:val="0"/>
            <w:vAlign w:val="center"/>
          </w:tcPr>
          <w:p w14:paraId="3F2EC75E">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bl>
    <w:p w14:paraId="01D7389A">
      <w:pPr>
        <w:spacing w:line="360" w:lineRule="auto"/>
        <w:rPr>
          <w:rFonts w:ascii="宋体" w:hAnsi="宋体" w:cs="宋体"/>
          <w:b/>
          <w:color w:val="auto"/>
          <w:szCs w:val="24"/>
          <w:highlight w:val="none"/>
          <w:u w:val="double"/>
        </w:rPr>
      </w:pPr>
    </w:p>
    <w:p w14:paraId="75C33118">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注：</w:t>
      </w:r>
    </w:p>
    <w:p w14:paraId="6622F44C">
      <w:pPr>
        <w:spacing w:line="360" w:lineRule="auto"/>
        <w:ind w:left="480" w:hanging="480" w:hangingChars="200"/>
        <w:rPr>
          <w:rFonts w:ascii="宋体" w:hAnsi="宋体" w:cs="宋体"/>
          <w:color w:val="auto"/>
          <w:szCs w:val="24"/>
          <w:highlight w:val="none"/>
        </w:rPr>
      </w:pPr>
      <w:r>
        <w:rPr>
          <w:rFonts w:hint="eastAsia" w:ascii="宋体" w:hAnsi="宋体" w:cs="宋体"/>
          <w:color w:val="auto"/>
          <w:szCs w:val="24"/>
          <w:highlight w:val="none"/>
        </w:rPr>
        <w:t>1.  以上材料将作为供应商资格性、符合性审查内容的重要组成部分，供应商必须严格按照其内容要求在响应文件中如实提供，并在</w:t>
      </w:r>
      <w:r>
        <w:rPr>
          <w:rFonts w:hint="eastAsia" w:ascii="宋体" w:hAnsi="宋体" w:cs="宋体"/>
          <w:b/>
          <w:color w:val="auto"/>
          <w:szCs w:val="24"/>
          <w:highlight w:val="none"/>
        </w:rPr>
        <w:t>“自查结论”</w:t>
      </w:r>
      <w:r>
        <w:rPr>
          <w:rFonts w:hint="eastAsia" w:ascii="宋体" w:hAnsi="宋体" w:cs="宋体"/>
          <w:color w:val="auto"/>
          <w:szCs w:val="24"/>
          <w:highlight w:val="none"/>
        </w:rPr>
        <w:t>栏的对应选项的“□”处打“√”。</w:t>
      </w:r>
    </w:p>
    <w:p w14:paraId="7D9D8A7E">
      <w:pPr>
        <w:spacing w:line="360" w:lineRule="auto"/>
        <w:rPr>
          <w:rFonts w:ascii="宋体" w:hAnsi="宋体" w:cs="宋体"/>
          <w:color w:val="auto"/>
          <w:szCs w:val="24"/>
          <w:highlight w:val="none"/>
        </w:rPr>
      </w:pPr>
      <w:r>
        <w:rPr>
          <w:rFonts w:hint="eastAsia" w:ascii="宋体" w:hAnsi="宋体" w:cs="宋体"/>
          <w:color w:val="auto"/>
          <w:szCs w:val="24"/>
          <w:highlight w:val="none"/>
        </w:rPr>
        <w:t>2.  本表所填写内容若不属实或存在偏差，不属于无效磋商条件，实际以供应商提供的材料为准。</w:t>
      </w:r>
    </w:p>
    <w:p w14:paraId="2EC2BB46">
      <w:pPr>
        <w:spacing w:line="360" w:lineRule="auto"/>
        <w:rPr>
          <w:rFonts w:ascii="宋体" w:hAnsi="宋体" w:cs="宋体"/>
          <w:color w:val="auto"/>
          <w:szCs w:val="24"/>
          <w:highlight w:val="none"/>
        </w:rPr>
      </w:pPr>
      <w:r>
        <w:rPr>
          <w:rFonts w:hint="eastAsia" w:ascii="宋体" w:hAnsi="宋体" w:cs="宋体"/>
          <w:color w:val="auto"/>
          <w:szCs w:val="24"/>
          <w:highlight w:val="none"/>
        </w:rPr>
        <w:t>3.  本表由供应商如实填写，以供磋商小组参考，否则可能影响供应商的得分。</w:t>
      </w:r>
    </w:p>
    <w:p w14:paraId="7D181A42">
      <w:pPr>
        <w:rPr>
          <w:rFonts w:hint="eastAsia" w:ascii="宋体" w:hAnsi="宋体"/>
          <w:color w:val="auto"/>
          <w:highlight w:val="none"/>
        </w:rPr>
      </w:pPr>
      <w:r>
        <w:rPr>
          <w:rFonts w:ascii="宋体" w:hAnsi="宋体"/>
          <w:color w:val="auto"/>
          <w:highlight w:val="none"/>
        </w:rPr>
        <w:br w:type="page"/>
      </w:r>
    </w:p>
    <w:p w14:paraId="7627BB27">
      <w:pPr>
        <w:pStyle w:val="4"/>
        <w:spacing w:after="120" w:afterLines="50"/>
        <w:jc w:val="center"/>
        <w:rPr>
          <w:rFonts w:hint="eastAsia"/>
          <w:color w:val="auto"/>
          <w:sz w:val="32"/>
          <w:highlight w:val="none"/>
        </w:rPr>
      </w:pPr>
      <w:r>
        <w:rPr>
          <w:rFonts w:hint="eastAsia"/>
          <w:color w:val="auto"/>
          <w:sz w:val="32"/>
          <w:highlight w:val="none"/>
        </w:rPr>
        <w:t>1.2 评审内容索引表</w:t>
      </w:r>
    </w:p>
    <w:p w14:paraId="66A9843B">
      <w:pPr>
        <w:rPr>
          <w:rFonts w:ascii="宋体" w:hAnsi="宋体"/>
          <w:b/>
          <w:color w:val="auto"/>
          <w:sz w:val="21"/>
          <w:highlight w:val="none"/>
        </w:rPr>
      </w:pPr>
      <w:r>
        <w:rPr>
          <w:rFonts w:hint="eastAsia" w:ascii="宋体" w:hAnsi="宋体"/>
          <w:b/>
          <w:color w:val="auto"/>
          <w:sz w:val="21"/>
          <w:highlight w:val="none"/>
        </w:rPr>
        <w:t>技术部分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92"/>
        <w:gridCol w:w="820"/>
        <w:gridCol w:w="851"/>
        <w:gridCol w:w="1276"/>
      </w:tblGrid>
      <w:tr w14:paraId="6604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567" w:type="dxa"/>
            <w:gridSpan w:val="2"/>
            <w:shd w:val="clear" w:color="auto" w:fill="A4A4A4"/>
            <w:noWrap w:val="0"/>
            <w:vAlign w:val="center"/>
          </w:tcPr>
          <w:p w14:paraId="71693FA7">
            <w:pPr>
              <w:snapToGrid w:val="0"/>
              <w:jc w:val="center"/>
              <w:rPr>
                <w:rFonts w:ascii="宋体" w:hAnsi="宋体"/>
                <w:b/>
                <w:color w:val="auto"/>
                <w:sz w:val="22"/>
                <w:highlight w:val="none"/>
              </w:rPr>
            </w:pPr>
            <w:r>
              <w:rPr>
                <w:rFonts w:hint="eastAsia" w:ascii="宋体" w:hAnsi="宋体"/>
                <w:b/>
                <w:color w:val="auto"/>
                <w:sz w:val="22"/>
                <w:highlight w:val="none"/>
              </w:rPr>
              <w:t>评审内容及子项</w:t>
            </w:r>
          </w:p>
        </w:tc>
        <w:tc>
          <w:tcPr>
            <w:tcW w:w="820" w:type="dxa"/>
            <w:shd w:val="clear" w:color="auto" w:fill="A4A4A4"/>
            <w:noWrap w:val="0"/>
            <w:vAlign w:val="center"/>
          </w:tcPr>
          <w:p w14:paraId="12170B30">
            <w:pPr>
              <w:widowControl w:val="0"/>
              <w:snapToGrid w:val="0"/>
              <w:ind w:left="-91" w:leftChars="-57" w:right="-122" w:rightChars="-51" w:hanging="46"/>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满分值</w:t>
            </w:r>
          </w:p>
        </w:tc>
        <w:tc>
          <w:tcPr>
            <w:tcW w:w="851" w:type="dxa"/>
            <w:shd w:val="clear" w:color="auto" w:fill="A4A4A4"/>
            <w:noWrap w:val="0"/>
            <w:vAlign w:val="center"/>
          </w:tcPr>
          <w:p w14:paraId="6142AAAB">
            <w:pPr>
              <w:widowControl w:val="0"/>
              <w:snapToGrid w:val="0"/>
              <w:ind w:left="0" w:leftChars="0" w:right="-122" w:rightChars="-51" w:firstLine="0"/>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自评分</w:t>
            </w:r>
          </w:p>
          <w:p w14:paraId="2E658E18">
            <w:pPr>
              <w:pStyle w:val="8"/>
              <w:snapToGrid w:val="0"/>
              <w:ind w:left="-94" w:leftChars="-39" w:right="-101" w:rightChars="-42"/>
              <w:jc w:val="center"/>
              <w:rPr>
                <w:rFonts w:ascii="宋体" w:hAnsi="宋体" w:eastAsia="宋体"/>
                <w:color w:val="auto"/>
                <w:sz w:val="22"/>
                <w:szCs w:val="22"/>
                <w:highlight w:val="none"/>
                <w:lang w:val="en-GB"/>
              </w:rPr>
            </w:pPr>
            <w:r>
              <w:rPr>
                <w:rFonts w:hint="eastAsia" w:ascii="宋体" w:hAnsi="宋体" w:eastAsia="宋体"/>
                <w:color w:val="auto"/>
                <w:sz w:val="22"/>
                <w:szCs w:val="22"/>
                <w:highlight w:val="none"/>
                <w:lang w:val="en-GB"/>
              </w:rPr>
              <w:t>（仅供参考）</w:t>
            </w:r>
          </w:p>
        </w:tc>
        <w:tc>
          <w:tcPr>
            <w:tcW w:w="1276" w:type="dxa"/>
            <w:shd w:val="clear" w:color="auto" w:fill="A4A4A4"/>
            <w:noWrap w:val="0"/>
            <w:vAlign w:val="center"/>
          </w:tcPr>
          <w:p w14:paraId="463CC23B">
            <w:pPr>
              <w:widowControl w:val="0"/>
              <w:snapToGrid w:val="0"/>
              <w:ind w:left="-79" w:leftChars="-33" w:right="-122" w:rightChars="-51" w:firstLine="0"/>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资料所在页码</w:t>
            </w:r>
          </w:p>
        </w:tc>
      </w:tr>
      <w:tr w14:paraId="317C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4A0B363E">
            <w:pPr>
              <w:snapToGrid w:val="0"/>
              <w:jc w:val="center"/>
              <w:rPr>
                <w:rFonts w:ascii="宋体" w:hAnsi="宋体" w:cs="宋体"/>
                <w:color w:val="auto"/>
                <w:sz w:val="22"/>
                <w:highlight w:val="none"/>
              </w:rPr>
            </w:pPr>
          </w:p>
        </w:tc>
        <w:tc>
          <w:tcPr>
            <w:tcW w:w="5892" w:type="dxa"/>
            <w:noWrap w:val="0"/>
            <w:vAlign w:val="center"/>
          </w:tcPr>
          <w:p w14:paraId="1A7794B6">
            <w:pPr>
              <w:snapToGrid w:val="0"/>
              <w:rPr>
                <w:rFonts w:ascii="宋体" w:hAnsi="宋体"/>
                <w:color w:val="auto"/>
                <w:sz w:val="22"/>
                <w:highlight w:val="none"/>
              </w:rPr>
            </w:pPr>
          </w:p>
        </w:tc>
        <w:tc>
          <w:tcPr>
            <w:tcW w:w="820" w:type="dxa"/>
            <w:noWrap w:val="0"/>
            <w:vAlign w:val="center"/>
          </w:tcPr>
          <w:p w14:paraId="7C22F989">
            <w:pPr>
              <w:snapToGrid w:val="0"/>
              <w:jc w:val="center"/>
              <w:rPr>
                <w:rFonts w:ascii="宋体" w:hAnsi="宋体"/>
                <w:color w:val="auto"/>
                <w:sz w:val="22"/>
                <w:highlight w:val="none"/>
              </w:rPr>
            </w:pPr>
          </w:p>
        </w:tc>
        <w:tc>
          <w:tcPr>
            <w:tcW w:w="851" w:type="dxa"/>
            <w:noWrap w:val="0"/>
            <w:vAlign w:val="center"/>
          </w:tcPr>
          <w:p w14:paraId="486DAA68">
            <w:pPr>
              <w:snapToGrid w:val="0"/>
              <w:jc w:val="center"/>
              <w:rPr>
                <w:rFonts w:ascii="宋体" w:hAnsi="宋体"/>
                <w:color w:val="auto"/>
                <w:sz w:val="22"/>
                <w:highlight w:val="none"/>
              </w:rPr>
            </w:pPr>
          </w:p>
        </w:tc>
        <w:tc>
          <w:tcPr>
            <w:tcW w:w="1276" w:type="dxa"/>
            <w:noWrap w:val="0"/>
            <w:vAlign w:val="center"/>
          </w:tcPr>
          <w:p w14:paraId="1F9CB94E">
            <w:pPr>
              <w:snapToGrid w:val="0"/>
              <w:jc w:val="center"/>
              <w:rPr>
                <w:rFonts w:ascii="宋体" w:hAnsi="宋体"/>
                <w:color w:val="auto"/>
                <w:sz w:val="22"/>
                <w:highlight w:val="none"/>
              </w:rPr>
            </w:pPr>
            <w:r>
              <w:rPr>
                <w:rFonts w:hint="eastAsia" w:ascii="宋体" w:hAnsi="宋体"/>
                <w:color w:val="auto"/>
                <w:sz w:val="22"/>
                <w:highlight w:val="none"/>
              </w:rPr>
              <w:t>第（）页</w:t>
            </w:r>
          </w:p>
        </w:tc>
      </w:tr>
      <w:tr w14:paraId="738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424456F4">
            <w:pPr>
              <w:snapToGrid w:val="0"/>
              <w:jc w:val="center"/>
              <w:rPr>
                <w:rFonts w:ascii="宋体" w:hAnsi="宋体" w:cs="宋体"/>
                <w:color w:val="auto"/>
                <w:sz w:val="22"/>
                <w:highlight w:val="none"/>
              </w:rPr>
            </w:pPr>
          </w:p>
        </w:tc>
        <w:tc>
          <w:tcPr>
            <w:tcW w:w="5892" w:type="dxa"/>
            <w:noWrap w:val="0"/>
            <w:vAlign w:val="center"/>
          </w:tcPr>
          <w:p w14:paraId="6CF0055F">
            <w:pPr>
              <w:snapToGrid w:val="0"/>
              <w:rPr>
                <w:rFonts w:ascii="宋体" w:hAnsi="宋体"/>
                <w:color w:val="auto"/>
                <w:sz w:val="22"/>
                <w:highlight w:val="none"/>
              </w:rPr>
            </w:pPr>
          </w:p>
        </w:tc>
        <w:tc>
          <w:tcPr>
            <w:tcW w:w="820" w:type="dxa"/>
            <w:noWrap w:val="0"/>
            <w:vAlign w:val="center"/>
          </w:tcPr>
          <w:p w14:paraId="7AD303FD">
            <w:pPr>
              <w:snapToGrid w:val="0"/>
              <w:jc w:val="center"/>
              <w:rPr>
                <w:rFonts w:ascii="宋体" w:hAnsi="宋体"/>
                <w:color w:val="auto"/>
                <w:sz w:val="22"/>
                <w:highlight w:val="none"/>
              </w:rPr>
            </w:pPr>
          </w:p>
        </w:tc>
        <w:tc>
          <w:tcPr>
            <w:tcW w:w="851" w:type="dxa"/>
            <w:noWrap w:val="0"/>
            <w:vAlign w:val="center"/>
          </w:tcPr>
          <w:p w14:paraId="2B37849C">
            <w:pPr>
              <w:snapToGrid w:val="0"/>
              <w:jc w:val="center"/>
              <w:rPr>
                <w:rFonts w:ascii="宋体" w:hAnsi="宋体"/>
                <w:color w:val="auto"/>
                <w:sz w:val="22"/>
                <w:highlight w:val="none"/>
              </w:rPr>
            </w:pPr>
          </w:p>
        </w:tc>
        <w:tc>
          <w:tcPr>
            <w:tcW w:w="1276" w:type="dxa"/>
            <w:noWrap w:val="0"/>
            <w:vAlign w:val="center"/>
          </w:tcPr>
          <w:p w14:paraId="77C93E6B">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06CF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66026F97">
            <w:pPr>
              <w:snapToGrid w:val="0"/>
              <w:jc w:val="center"/>
              <w:rPr>
                <w:rFonts w:ascii="宋体" w:hAnsi="宋体" w:cs="宋体"/>
                <w:color w:val="auto"/>
                <w:sz w:val="22"/>
                <w:highlight w:val="none"/>
              </w:rPr>
            </w:pPr>
          </w:p>
        </w:tc>
        <w:tc>
          <w:tcPr>
            <w:tcW w:w="5892" w:type="dxa"/>
            <w:noWrap w:val="0"/>
            <w:vAlign w:val="center"/>
          </w:tcPr>
          <w:p w14:paraId="52451B23">
            <w:pPr>
              <w:snapToGrid w:val="0"/>
              <w:rPr>
                <w:rFonts w:hint="eastAsia" w:ascii="宋体" w:hAnsi="宋体"/>
                <w:color w:val="auto"/>
                <w:sz w:val="22"/>
                <w:highlight w:val="none"/>
              </w:rPr>
            </w:pPr>
          </w:p>
        </w:tc>
        <w:tc>
          <w:tcPr>
            <w:tcW w:w="820" w:type="dxa"/>
            <w:noWrap w:val="0"/>
            <w:vAlign w:val="center"/>
          </w:tcPr>
          <w:p w14:paraId="3763064F">
            <w:pPr>
              <w:snapToGrid w:val="0"/>
              <w:jc w:val="center"/>
              <w:rPr>
                <w:rFonts w:hint="eastAsia" w:ascii="宋体" w:hAnsi="宋体"/>
                <w:color w:val="auto"/>
                <w:sz w:val="22"/>
                <w:highlight w:val="none"/>
              </w:rPr>
            </w:pPr>
          </w:p>
        </w:tc>
        <w:tc>
          <w:tcPr>
            <w:tcW w:w="851" w:type="dxa"/>
            <w:noWrap w:val="0"/>
            <w:vAlign w:val="center"/>
          </w:tcPr>
          <w:p w14:paraId="4BC1A060">
            <w:pPr>
              <w:snapToGrid w:val="0"/>
              <w:jc w:val="center"/>
              <w:rPr>
                <w:rFonts w:hint="eastAsia" w:ascii="宋体" w:hAnsi="宋体"/>
                <w:color w:val="auto"/>
                <w:sz w:val="22"/>
                <w:highlight w:val="none"/>
              </w:rPr>
            </w:pPr>
          </w:p>
        </w:tc>
        <w:tc>
          <w:tcPr>
            <w:tcW w:w="1276" w:type="dxa"/>
            <w:noWrap w:val="0"/>
            <w:vAlign w:val="center"/>
          </w:tcPr>
          <w:p w14:paraId="5A54017B">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3319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6B9F12CC">
            <w:pPr>
              <w:snapToGrid w:val="0"/>
              <w:jc w:val="center"/>
              <w:rPr>
                <w:rFonts w:ascii="宋体" w:hAnsi="宋体" w:cs="宋体"/>
                <w:color w:val="auto"/>
                <w:sz w:val="22"/>
                <w:highlight w:val="none"/>
              </w:rPr>
            </w:pPr>
          </w:p>
        </w:tc>
        <w:tc>
          <w:tcPr>
            <w:tcW w:w="5892" w:type="dxa"/>
            <w:noWrap w:val="0"/>
            <w:vAlign w:val="center"/>
          </w:tcPr>
          <w:p w14:paraId="69AB8D8B">
            <w:pPr>
              <w:snapToGrid w:val="0"/>
              <w:rPr>
                <w:rFonts w:hint="eastAsia" w:ascii="宋体" w:hAnsi="宋体"/>
                <w:color w:val="auto"/>
                <w:sz w:val="22"/>
                <w:highlight w:val="none"/>
              </w:rPr>
            </w:pPr>
          </w:p>
        </w:tc>
        <w:tc>
          <w:tcPr>
            <w:tcW w:w="820" w:type="dxa"/>
            <w:noWrap w:val="0"/>
            <w:vAlign w:val="center"/>
          </w:tcPr>
          <w:p w14:paraId="0F77AF4A">
            <w:pPr>
              <w:snapToGrid w:val="0"/>
              <w:jc w:val="center"/>
              <w:rPr>
                <w:rFonts w:hint="eastAsia" w:ascii="宋体" w:hAnsi="宋体"/>
                <w:color w:val="auto"/>
                <w:sz w:val="22"/>
                <w:highlight w:val="none"/>
              </w:rPr>
            </w:pPr>
          </w:p>
        </w:tc>
        <w:tc>
          <w:tcPr>
            <w:tcW w:w="851" w:type="dxa"/>
            <w:noWrap w:val="0"/>
            <w:vAlign w:val="center"/>
          </w:tcPr>
          <w:p w14:paraId="6DE2ACE2">
            <w:pPr>
              <w:snapToGrid w:val="0"/>
              <w:jc w:val="center"/>
              <w:rPr>
                <w:rFonts w:hint="eastAsia" w:ascii="宋体" w:hAnsi="宋体"/>
                <w:color w:val="auto"/>
                <w:sz w:val="22"/>
                <w:highlight w:val="none"/>
              </w:rPr>
            </w:pPr>
          </w:p>
        </w:tc>
        <w:tc>
          <w:tcPr>
            <w:tcW w:w="1276" w:type="dxa"/>
            <w:noWrap w:val="0"/>
            <w:vAlign w:val="center"/>
          </w:tcPr>
          <w:p w14:paraId="3273F3AA">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6B8D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27CE1A02">
            <w:pPr>
              <w:snapToGrid w:val="0"/>
              <w:jc w:val="center"/>
              <w:rPr>
                <w:rFonts w:ascii="宋体" w:hAnsi="宋体" w:cs="宋体"/>
                <w:color w:val="auto"/>
                <w:sz w:val="22"/>
                <w:highlight w:val="none"/>
              </w:rPr>
            </w:pPr>
          </w:p>
        </w:tc>
        <w:tc>
          <w:tcPr>
            <w:tcW w:w="5892" w:type="dxa"/>
            <w:noWrap w:val="0"/>
            <w:vAlign w:val="center"/>
          </w:tcPr>
          <w:p w14:paraId="06A40414">
            <w:pPr>
              <w:snapToGrid w:val="0"/>
              <w:rPr>
                <w:rFonts w:hint="eastAsia" w:ascii="宋体" w:hAnsi="宋体"/>
                <w:color w:val="auto"/>
                <w:sz w:val="22"/>
                <w:highlight w:val="none"/>
              </w:rPr>
            </w:pPr>
          </w:p>
        </w:tc>
        <w:tc>
          <w:tcPr>
            <w:tcW w:w="820" w:type="dxa"/>
            <w:noWrap w:val="0"/>
            <w:vAlign w:val="center"/>
          </w:tcPr>
          <w:p w14:paraId="5568056D">
            <w:pPr>
              <w:snapToGrid w:val="0"/>
              <w:jc w:val="center"/>
              <w:rPr>
                <w:rFonts w:hint="eastAsia" w:ascii="宋体" w:hAnsi="宋体"/>
                <w:color w:val="auto"/>
                <w:sz w:val="22"/>
                <w:highlight w:val="none"/>
              </w:rPr>
            </w:pPr>
          </w:p>
        </w:tc>
        <w:tc>
          <w:tcPr>
            <w:tcW w:w="851" w:type="dxa"/>
            <w:noWrap w:val="0"/>
            <w:vAlign w:val="center"/>
          </w:tcPr>
          <w:p w14:paraId="169A6BEC">
            <w:pPr>
              <w:snapToGrid w:val="0"/>
              <w:jc w:val="center"/>
              <w:rPr>
                <w:rFonts w:hint="eastAsia" w:ascii="宋体" w:hAnsi="宋体"/>
                <w:color w:val="auto"/>
                <w:sz w:val="22"/>
                <w:highlight w:val="none"/>
              </w:rPr>
            </w:pPr>
          </w:p>
        </w:tc>
        <w:tc>
          <w:tcPr>
            <w:tcW w:w="1276" w:type="dxa"/>
            <w:noWrap w:val="0"/>
            <w:vAlign w:val="center"/>
          </w:tcPr>
          <w:p w14:paraId="34B6C15D">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145C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039A348E">
            <w:pPr>
              <w:snapToGrid w:val="0"/>
              <w:jc w:val="center"/>
              <w:rPr>
                <w:rFonts w:ascii="宋体" w:hAnsi="宋体" w:cs="宋体"/>
                <w:color w:val="auto"/>
                <w:sz w:val="22"/>
                <w:highlight w:val="none"/>
              </w:rPr>
            </w:pPr>
          </w:p>
        </w:tc>
        <w:tc>
          <w:tcPr>
            <w:tcW w:w="5892" w:type="dxa"/>
            <w:noWrap w:val="0"/>
            <w:vAlign w:val="center"/>
          </w:tcPr>
          <w:p w14:paraId="45B5FC73">
            <w:pPr>
              <w:snapToGrid w:val="0"/>
              <w:rPr>
                <w:rFonts w:hint="eastAsia" w:ascii="宋体" w:hAnsi="宋体"/>
                <w:color w:val="auto"/>
                <w:sz w:val="22"/>
                <w:highlight w:val="none"/>
              </w:rPr>
            </w:pPr>
          </w:p>
        </w:tc>
        <w:tc>
          <w:tcPr>
            <w:tcW w:w="820" w:type="dxa"/>
            <w:noWrap w:val="0"/>
            <w:vAlign w:val="center"/>
          </w:tcPr>
          <w:p w14:paraId="744E5705">
            <w:pPr>
              <w:snapToGrid w:val="0"/>
              <w:jc w:val="center"/>
              <w:rPr>
                <w:rFonts w:hint="eastAsia" w:ascii="宋体" w:hAnsi="宋体"/>
                <w:color w:val="auto"/>
                <w:sz w:val="22"/>
                <w:highlight w:val="none"/>
              </w:rPr>
            </w:pPr>
          </w:p>
        </w:tc>
        <w:tc>
          <w:tcPr>
            <w:tcW w:w="851" w:type="dxa"/>
            <w:noWrap w:val="0"/>
            <w:vAlign w:val="center"/>
          </w:tcPr>
          <w:p w14:paraId="53270537">
            <w:pPr>
              <w:snapToGrid w:val="0"/>
              <w:jc w:val="center"/>
              <w:rPr>
                <w:rFonts w:hint="eastAsia" w:ascii="宋体" w:hAnsi="宋体"/>
                <w:color w:val="auto"/>
                <w:sz w:val="22"/>
                <w:highlight w:val="none"/>
              </w:rPr>
            </w:pPr>
          </w:p>
        </w:tc>
        <w:tc>
          <w:tcPr>
            <w:tcW w:w="1276" w:type="dxa"/>
            <w:noWrap w:val="0"/>
            <w:vAlign w:val="center"/>
          </w:tcPr>
          <w:p w14:paraId="38E8E13E">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7F8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67" w:type="dxa"/>
            <w:gridSpan w:val="2"/>
            <w:noWrap w:val="0"/>
            <w:vAlign w:val="center"/>
          </w:tcPr>
          <w:p w14:paraId="5D3D62F7">
            <w:pPr>
              <w:snapToGrid w:val="0"/>
              <w:jc w:val="center"/>
              <w:rPr>
                <w:rFonts w:hint="eastAsia" w:ascii="宋体" w:hAnsi="宋体"/>
                <w:color w:val="auto"/>
                <w:sz w:val="22"/>
                <w:highlight w:val="none"/>
              </w:rPr>
            </w:pPr>
            <w:r>
              <w:rPr>
                <w:rFonts w:hint="eastAsia" w:ascii="宋体" w:hAnsi="宋体" w:cs="宋体"/>
                <w:b/>
                <w:color w:val="auto"/>
                <w:sz w:val="22"/>
                <w:highlight w:val="none"/>
              </w:rPr>
              <w:t>技术部分总分合计</w:t>
            </w:r>
          </w:p>
        </w:tc>
        <w:tc>
          <w:tcPr>
            <w:tcW w:w="820" w:type="dxa"/>
            <w:noWrap w:val="0"/>
            <w:vAlign w:val="center"/>
          </w:tcPr>
          <w:p w14:paraId="16289131">
            <w:pPr>
              <w:snapToGrid w:val="0"/>
              <w:jc w:val="center"/>
              <w:rPr>
                <w:rFonts w:hint="eastAsia" w:ascii="宋体" w:hAnsi="宋体"/>
                <w:color w:val="auto"/>
                <w:sz w:val="22"/>
                <w:highlight w:val="none"/>
              </w:rPr>
            </w:pPr>
          </w:p>
        </w:tc>
        <w:tc>
          <w:tcPr>
            <w:tcW w:w="851" w:type="dxa"/>
            <w:noWrap w:val="0"/>
            <w:vAlign w:val="center"/>
          </w:tcPr>
          <w:p w14:paraId="6F86C6A6">
            <w:pPr>
              <w:snapToGrid w:val="0"/>
              <w:jc w:val="center"/>
              <w:rPr>
                <w:rFonts w:hint="eastAsia" w:ascii="宋体" w:hAnsi="宋体"/>
                <w:color w:val="auto"/>
                <w:sz w:val="22"/>
                <w:highlight w:val="none"/>
              </w:rPr>
            </w:pPr>
          </w:p>
        </w:tc>
        <w:tc>
          <w:tcPr>
            <w:tcW w:w="1276" w:type="dxa"/>
            <w:noWrap w:val="0"/>
            <w:vAlign w:val="center"/>
          </w:tcPr>
          <w:p w14:paraId="3FF298A8">
            <w:pPr>
              <w:snapToGrid w:val="0"/>
              <w:jc w:val="center"/>
              <w:rPr>
                <w:rFonts w:hint="eastAsia" w:ascii="宋体" w:hAnsi="宋体"/>
                <w:color w:val="auto"/>
                <w:sz w:val="22"/>
                <w:highlight w:val="none"/>
              </w:rPr>
            </w:pPr>
            <w:r>
              <w:rPr>
                <w:rFonts w:hint="eastAsia" w:ascii="宋体" w:hAnsi="宋体"/>
                <w:color w:val="auto"/>
                <w:sz w:val="22"/>
                <w:highlight w:val="none"/>
              </w:rPr>
              <w:t>/</w:t>
            </w:r>
          </w:p>
        </w:tc>
      </w:tr>
    </w:tbl>
    <w:p w14:paraId="243B8D78">
      <w:pPr>
        <w:rPr>
          <w:rFonts w:ascii="宋体" w:hAnsi="宋体"/>
          <w:b/>
          <w:color w:val="auto"/>
          <w:sz w:val="21"/>
          <w:highlight w:val="none"/>
        </w:rPr>
      </w:pPr>
    </w:p>
    <w:p w14:paraId="690BF12F">
      <w:pPr>
        <w:rPr>
          <w:rFonts w:ascii="宋体" w:hAnsi="宋体"/>
          <w:b/>
          <w:color w:val="auto"/>
          <w:sz w:val="21"/>
          <w:highlight w:val="none"/>
        </w:rPr>
      </w:pPr>
      <w:r>
        <w:rPr>
          <w:rFonts w:hint="eastAsia" w:ascii="宋体" w:hAnsi="宋体"/>
          <w:b/>
          <w:color w:val="auto"/>
          <w:sz w:val="21"/>
          <w:highlight w:val="none"/>
        </w:rPr>
        <w:t>商务部分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92"/>
        <w:gridCol w:w="820"/>
        <w:gridCol w:w="851"/>
        <w:gridCol w:w="1276"/>
      </w:tblGrid>
      <w:tr w14:paraId="7A5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567" w:type="dxa"/>
            <w:gridSpan w:val="2"/>
            <w:shd w:val="clear" w:color="auto" w:fill="A4A4A4"/>
            <w:noWrap w:val="0"/>
            <w:vAlign w:val="center"/>
          </w:tcPr>
          <w:p w14:paraId="587D5161">
            <w:pPr>
              <w:snapToGrid w:val="0"/>
              <w:jc w:val="center"/>
              <w:rPr>
                <w:rFonts w:ascii="宋体" w:hAnsi="宋体"/>
                <w:b/>
                <w:color w:val="auto"/>
                <w:sz w:val="22"/>
                <w:highlight w:val="none"/>
              </w:rPr>
            </w:pPr>
            <w:r>
              <w:rPr>
                <w:rFonts w:hint="eastAsia" w:ascii="宋体" w:hAnsi="宋体"/>
                <w:b/>
                <w:color w:val="auto"/>
                <w:sz w:val="22"/>
                <w:highlight w:val="none"/>
              </w:rPr>
              <w:t>评审内容及子项</w:t>
            </w:r>
          </w:p>
        </w:tc>
        <w:tc>
          <w:tcPr>
            <w:tcW w:w="820" w:type="dxa"/>
            <w:shd w:val="clear" w:color="auto" w:fill="A4A4A4"/>
            <w:noWrap w:val="0"/>
            <w:vAlign w:val="center"/>
          </w:tcPr>
          <w:p w14:paraId="57EC7873">
            <w:pPr>
              <w:widowControl w:val="0"/>
              <w:snapToGrid w:val="0"/>
              <w:ind w:left="-91" w:leftChars="-57" w:right="-122" w:rightChars="-51" w:hanging="46"/>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满分值</w:t>
            </w:r>
          </w:p>
        </w:tc>
        <w:tc>
          <w:tcPr>
            <w:tcW w:w="851" w:type="dxa"/>
            <w:shd w:val="clear" w:color="auto" w:fill="A4A4A4"/>
            <w:noWrap w:val="0"/>
            <w:vAlign w:val="center"/>
          </w:tcPr>
          <w:p w14:paraId="684A296F">
            <w:pPr>
              <w:widowControl w:val="0"/>
              <w:snapToGrid w:val="0"/>
              <w:ind w:left="0" w:leftChars="0" w:right="-122" w:rightChars="-51" w:firstLine="0"/>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自评分</w:t>
            </w:r>
          </w:p>
          <w:p w14:paraId="7583373A">
            <w:pPr>
              <w:pStyle w:val="8"/>
              <w:snapToGrid w:val="0"/>
              <w:ind w:left="-94" w:leftChars="-39" w:right="-101" w:rightChars="-42"/>
              <w:jc w:val="center"/>
              <w:rPr>
                <w:rFonts w:ascii="宋体" w:hAnsi="宋体" w:eastAsia="宋体"/>
                <w:color w:val="auto"/>
                <w:sz w:val="22"/>
                <w:szCs w:val="22"/>
                <w:highlight w:val="none"/>
                <w:lang w:val="en-GB"/>
              </w:rPr>
            </w:pPr>
            <w:r>
              <w:rPr>
                <w:rFonts w:hint="eastAsia" w:ascii="宋体" w:hAnsi="宋体" w:eastAsia="宋体"/>
                <w:color w:val="auto"/>
                <w:sz w:val="22"/>
                <w:szCs w:val="22"/>
                <w:highlight w:val="none"/>
                <w:lang w:val="en-GB"/>
              </w:rPr>
              <w:t>（仅供参考）</w:t>
            </w:r>
          </w:p>
        </w:tc>
        <w:tc>
          <w:tcPr>
            <w:tcW w:w="1276" w:type="dxa"/>
            <w:shd w:val="clear" w:color="auto" w:fill="A4A4A4"/>
            <w:noWrap w:val="0"/>
            <w:vAlign w:val="center"/>
          </w:tcPr>
          <w:p w14:paraId="5537612C">
            <w:pPr>
              <w:widowControl w:val="0"/>
              <w:snapToGrid w:val="0"/>
              <w:ind w:left="-79" w:leftChars="-33" w:right="-122" w:rightChars="-51" w:firstLine="0"/>
              <w:jc w:val="center"/>
              <w:rPr>
                <w:rFonts w:ascii="宋体" w:hAnsi="宋体" w:eastAsia="宋体" w:cs="Times New Roman"/>
                <w:b/>
                <w:color w:val="auto"/>
                <w:kern w:val="2"/>
                <w:sz w:val="22"/>
                <w:szCs w:val="22"/>
                <w:highlight w:val="none"/>
                <w:lang w:val="en-GB" w:eastAsia="zh-CN" w:bidi="ar-SA"/>
              </w:rPr>
            </w:pPr>
            <w:r>
              <w:rPr>
                <w:rFonts w:hint="eastAsia" w:ascii="宋体" w:hAnsi="宋体" w:eastAsia="宋体" w:cs="Times New Roman"/>
                <w:b/>
                <w:color w:val="auto"/>
                <w:kern w:val="2"/>
                <w:sz w:val="22"/>
                <w:szCs w:val="22"/>
                <w:highlight w:val="none"/>
                <w:lang w:val="en-GB" w:eastAsia="zh-CN" w:bidi="ar-SA"/>
              </w:rPr>
              <w:t>资料所在页码</w:t>
            </w:r>
          </w:p>
        </w:tc>
      </w:tr>
      <w:tr w14:paraId="6852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336FB734">
            <w:pPr>
              <w:snapToGrid w:val="0"/>
              <w:jc w:val="center"/>
              <w:rPr>
                <w:rFonts w:ascii="宋体" w:hAnsi="宋体" w:cs="宋体"/>
                <w:color w:val="auto"/>
                <w:sz w:val="22"/>
                <w:highlight w:val="none"/>
              </w:rPr>
            </w:pPr>
          </w:p>
        </w:tc>
        <w:tc>
          <w:tcPr>
            <w:tcW w:w="5892" w:type="dxa"/>
            <w:noWrap w:val="0"/>
            <w:vAlign w:val="center"/>
          </w:tcPr>
          <w:p w14:paraId="1F125D37">
            <w:pPr>
              <w:snapToGrid w:val="0"/>
              <w:rPr>
                <w:rFonts w:ascii="宋体" w:hAnsi="宋体"/>
                <w:color w:val="auto"/>
                <w:sz w:val="22"/>
                <w:highlight w:val="none"/>
              </w:rPr>
            </w:pPr>
          </w:p>
        </w:tc>
        <w:tc>
          <w:tcPr>
            <w:tcW w:w="820" w:type="dxa"/>
            <w:noWrap w:val="0"/>
            <w:vAlign w:val="center"/>
          </w:tcPr>
          <w:p w14:paraId="0FEADF74">
            <w:pPr>
              <w:snapToGrid w:val="0"/>
              <w:jc w:val="center"/>
              <w:rPr>
                <w:rFonts w:ascii="宋体" w:hAnsi="宋体"/>
                <w:color w:val="auto"/>
                <w:sz w:val="22"/>
                <w:highlight w:val="none"/>
              </w:rPr>
            </w:pPr>
          </w:p>
        </w:tc>
        <w:tc>
          <w:tcPr>
            <w:tcW w:w="851" w:type="dxa"/>
            <w:noWrap w:val="0"/>
            <w:vAlign w:val="center"/>
          </w:tcPr>
          <w:p w14:paraId="32C10816">
            <w:pPr>
              <w:snapToGrid w:val="0"/>
              <w:jc w:val="center"/>
              <w:rPr>
                <w:rFonts w:ascii="宋体" w:hAnsi="宋体"/>
                <w:color w:val="auto"/>
                <w:sz w:val="22"/>
                <w:highlight w:val="none"/>
              </w:rPr>
            </w:pPr>
          </w:p>
        </w:tc>
        <w:tc>
          <w:tcPr>
            <w:tcW w:w="1276" w:type="dxa"/>
            <w:noWrap w:val="0"/>
            <w:vAlign w:val="center"/>
          </w:tcPr>
          <w:p w14:paraId="3082383D">
            <w:pPr>
              <w:snapToGrid w:val="0"/>
              <w:jc w:val="center"/>
              <w:rPr>
                <w:rFonts w:ascii="宋体" w:hAnsi="宋体"/>
                <w:color w:val="auto"/>
                <w:sz w:val="22"/>
                <w:highlight w:val="none"/>
              </w:rPr>
            </w:pPr>
            <w:r>
              <w:rPr>
                <w:rFonts w:hint="eastAsia" w:ascii="宋体" w:hAnsi="宋体"/>
                <w:color w:val="auto"/>
                <w:sz w:val="22"/>
                <w:highlight w:val="none"/>
              </w:rPr>
              <w:t>第（）页</w:t>
            </w:r>
          </w:p>
        </w:tc>
      </w:tr>
      <w:tr w14:paraId="2FF4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4BF13A1D">
            <w:pPr>
              <w:snapToGrid w:val="0"/>
              <w:jc w:val="center"/>
              <w:rPr>
                <w:rFonts w:ascii="宋体" w:hAnsi="宋体" w:cs="宋体"/>
                <w:color w:val="auto"/>
                <w:sz w:val="22"/>
                <w:highlight w:val="none"/>
              </w:rPr>
            </w:pPr>
          </w:p>
        </w:tc>
        <w:tc>
          <w:tcPr>
            <w:tcW w:w="5892" w:type="dxa"/>
            <w:noWrap w:val="0"/>
            <w:vAlign w:val="center"/>
          </w:tcPr>
          <w:p w14:paraId="645B4FA2">
            <w:pPr>
              <w:snapToGrid w:val="0"/>
              <w:rPr>
                <w:rFonts w:ascii="宋体" w:hAnsi="宋体"/>
                <w:color w:val="auto"/>
                <w:sz w:val="22"/>
                <w:highlight w:val="none"/>
              </w:rPr>
            </w:pPr>
          </w:p>
        </w:tc>
        <w:tc>
          <w:tcPr>
            <w:tcW w:w="820" w:type="dxa"/>
            <w:noWrap w:val="0"/>
            <w:vAlign w:val="center"/>
          </w:tcPr>
          <w:p w14:paraId="756F0244">
            <w:pPr>
              <w:snapToGrid w:val="0"/>
              <w:jc w:val="center"/>
              <w:rPr>
                <w:rFonts w:ascii="宋体" w:hAnsi="宋体"/>
                <w:color w:val="auto"/>
                <w:sz w:val="22"/>
                <w:highlight w:val="none"/>
              </w:rPr>
            </w:pPr>
          </w:p>
        </w:tc>
        <w:tc>
          <w:tcPr>
            <w:tcW w:w="851" w:type="dxa"/>
            <w:noWrap w:val="0"/>
            <w:vAlign w:val="center"/>
          </w:tcPr>
          <w:p w14:paraId="09E157ED">
            <w:pPr>
              <w:snapToGrid w:val="0"/>
              <w:jc w:val="center"/>
              <w:rPr>
                <w:rFonts w:ascii="宋体" w:hAnsi="宋体"/>
                <w:color w:val="auto"/>
                <w:sz w:val="22"/>
                <w:highlight w:val="none"/>
              </w:rPr>
            </w:pPr>
          </w:p>
        </w:tc>
        <w:tc>
          <w:tcPr>
            <w:tcW w:w="1276" w:type="dxa"/>
            <w:noWrap w:val="0"/>
            <w:vAlign w:val="center"/>
          </w:tcPr>
          <w:p w14:paraId="3E28CB2B">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6ED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3D9C5D45">
            <w:pPr>
              <w:snapToGrid w:val="0"/>
              <w:jc w:val="center"/>
              <w:rPr>
                <w:rFonts w:ascii="宋体" w:hAnsi="宋体" w:cs="宋体"/>
                <w:color w:val="auto"/>
                <w:sz w:val="22"/>
                <w:highlight w:val="none"/>
              </w:rPr>
            </w:pPr>
          </w:p>
        </w:tc>
        <w:tc>
          <w:tcPr>
            <w:tcW w:w="5892" w:type="dxa"/>
            <w:noWrap w:val="0"/>
            <w:vAlign w:val="center"/>
          </w:tcPr>
          <w:p w14:paraId="183CDF7B">
            <w:pPr>
              <w:snapToGrid w:val="0"/>
              <w:rPr>
                <w:rFonts w:hint="eastAsia" w:ascii="宋体" w:hAnsi="宋体"/>
                <w:color w:val="auto"/>
                <w:sz w:val="22"/>
                <w:highlight w:val="none"/>
              </w:rPr>
            </w:pPr>
          </w:p>
        </w:tc>
        <w:tc>
          <w:tcPr>
            <w:tcW w:w="820" w:type="dxa"/>
            <w:noWrap w:val="0"/>
            <w:vAlign w:val="center"/>
          </w:tcPr>
          <w:p w14:paraId="5F86454D">
            <w:pPr>
              <w:snapToGrid w:val="0"/>
              <w:jc w:val="center"/>
              <w:rPr>
                <w:rFonts w:hint="eastAsia" w:ascii="宋体" w:hAnsi="宋体"/>
                <w:color w:val="auto"/>
                <w:sz w:val="22"/>
                <w:highlight w:val="none"/>
              </w:rPr>
            </w:pPr>
          </w:p>
        </w:tc>
        <w:tc>
          <w:tcPr>
            <w:tcW w:w="851" w:type="dxa"/>
            <w:noWrap w:val="0"/>
            <w:vAlign w:val="center"/>
          </w:tcPr>
          <w:p w14:paraId="6AAF50D7">
            <w:pPr>
              <w:snapToGrid w:val="0"/>
              <w:jc w:val="center"/>
              <w:rPr>
                <w:rFonts w:hint="eastAsia" w:ascii="宋体" w:hAnsi="宋体"/>
                <w:color w:val="auto"/>
                <w:sz w:val="22"/>
                <w:highlight w:val="none"/>
              </w:rPr>
            </w:pPr>
          </w:p>
        </w:tc>
        <w:tc>
          <w:tcPr>
            <w:tcW w:w="1276" w:type="dxa"/>
            <w:noWrap w:val="0"/>
            <w:vAlign w:val="center"/>
          </w:tcPr>
          <w:p w14:paraId="52704799">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202C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13238990">
            <w:pPr>
              <w:snapToGrid w:val="0"/>
              <w:jc w:val="center"/>
              <w:rPr>
                <w:rFonts w:ascii="宋体" w:hAnsi="宋体" w:cs="宋体"/>
                <w:color w:val="auto"/>
                <w:sz w:val="22"/>
                <w:highlight w:val="none"/>
              </w:rPr>
            </w:pPr>
          </w:p>
        </w:tc>
        <w:tc>
          <w:tcPr>
            <w:tcW w:w="5892" w:type="dxa"/>
            <w:noWrap w:val="0"/>
            <w:vAlign w:val="center"/>
          </w:tcPr>
          <w:p w14:paraId="77AC4B3E">
            <w:pPr>
              <w:snapToGrid w:val="0"/>
              <w:rPr>
                <w:rFonts w:hint="eastAsia" w:ascii="宋体" w:hAnsi="宋体"/>
                <w:color w:val="auto"/>
                <w:sz w:val="22"/>
                <w:highlight w:val="none"/>
              </w:rPr>
            </w:pPr>
          </w:p>
        </w:tc>
        <w:tc>
          <w:tcPr>
            <w:tcW w:w="820" w:type="dxa"/>
            <w:noWrap w:val="0"/>
            <w:vAlign w:val="center"/>
          </w:tcPr>
          <w:p w14:paraId="3A098B28">
            <w:pPr>
              <w:snapToGrid w:val="0"/>
              <w:jc w:val="center"/>
              <w:rPr>
                <w:rFonts w:hint="eastAsia" w:ascii="宋体" w:hAnsi="宋体"/>
                <w:color w:val="auto"/>
                <w:sz w:val="22"/>
                <w:highlight w:val="none"/>
              </w:rPr>
            </w:pPr>
          </w:p>
        </w:tc>
        <w:tc>
          <w:tcPr>
            <w:tcW w:w="851" w:type="dxa"/>
            <w:noWrap w:val="0"/>
            <w:vAlign w:val="center"/>
          </w:tcPr>
          <w:p w14:paraId="6FCB8433">
            <w:pPr>
              <w:snapToGrid w:val="0"/>
              <w:jc w:val="center"/>
              <w:rPr>
                <w:rFonts w:hint="eastAsia" w:ascii="宋体" w:hAnsi="宋体"/>
                <w:color w:val="auto"/>
                <w:sz w:val="22"/>
                <w:highlight w:val="none"/>
              </w:rPr>
            </w:pPr>
          </w:p>
        </w:tc>
        <w:tc>
          <w:tcPr>
            <w:tcW w:w="1276" w:type="dxa"/>
            <w:noWrap w:val="0"/>
            <w:vAlign w:val="center"/>
          </w:tcPr>
          <w:p w14:paraId="223102F3">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0D3E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3550BBB4">
            <w:pPr>
              <w:snapToGrid w:val="0"/>
              <w:jc w:val="center"/>
              <w:rPr>
                <w:rFonts w:ascii="宋体" w:hAnsi="宋体" w:cs="宋体"/>
                <w:color w:val="auto"/>
                <w:sz w:val="22"/>
                <w:highlight w:val="none"/>
              </w:rPr>
            </w:pPr>
          </w:p>
        </w:tc>
        <w:tc>
          <w:tcPr>
            <w:tcW w:w="5892" w:type="dxa"/>
            <w:noWrap w:val="0"/>
            <w:vAlign w:val="center"/>
          </w:tcPr>
          <w:p w14:paraId="42907A03">
            <w:pPr>
              <w:snapToGrid w:val="0"/>
              <w:rPr>
                <w:rFonts w:hint="eastAsia" w:ascii="宋体" w:hAnsi="宋体"/>
                <w:color w:val="auto"/>
                <w:sz w:val="22"/>
                <w:highlight w:val="none"/>
              </w:rPr>
            </w:pPr>
          </w:p>
        </w:tc>
        <w:tc>
          <w:tcPr>
            <w:tcW w:w="820" w:type="dxa"/>
            <w:noWrap w:val="0"/>
            <w:vAlign w:val="center"/>
          </w:tcPr>
          <w:p w14:paraId="57839332">
            <w:pPr>
              <w:snapToGrid w:val="0"/>
              <w:jc w:val="center"/>
              <w:rPr>
                <w:rFonts w:hint="eastAsia" w:ascii="宋体" w:hAnsi="宋体"/>
                <w:color w:val="auto"/>
                <w:sz w:val="22"/>
                <w:highlight w:val="none"/>
              </w:rPr>
            </w:pPr>
          </w:p>
        </w:tc>
        <w:tc>
          <w:tcPr>
            <w:tcW w:w="851" w:type="dxa"/>
            <w:noWrap w:val="0"/>
            <w:vAlign w:val="center"/>
          </w:tcPr>
          <w:p w14:paraId="5EEEF051">
            <w:pPr>
              <w:snapToGrid w:val="0"/>
              <w:jc w:val="center"/>
              <w:rPr>
                <w:rFonts w:hint="eastAsia" w:ascii="宋体" w:hAnsi="宋体"/>
                <w:color w:val="auto"/>
                <w:sz w:val="22"/>
                <w:highlight w:val="none"/>
              </w:rPr>
            </w:pPr>
          </w:p>
        </w:tc>
        <w:tc>
          <w:tcPr>
            <w:tcW w:w="1276" w:type="dxa"/>
            <w:noWrap w:val="0"/>
            <w:vAlign w:val="center"/>
          </w:tcPr>
          <w:p w14:paraId="6F2CF381">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6D0F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noWrap w:val="0"/>
            <w:vAlign w:val="center"/>
          </w:tcPr>
          <w:p w14:paraId="4DF91C5F">
            <w:pPr>
              <w:snapToGrid w:val="0"/>
              <w:jc w:val="center"/>
              <w:rPr>
                <w:rFonts w:ascii="宋体" w:hAnsi="宋体" w:cs="宋体"/>
                <w:color w:val="auto"/>
                <w:sz w:val="22"/>
                <w:highlight w:val="none"/>
              </w:rPr>
            </w:pPr>
          </w:p>
        </w:tc>
        <w:tc>
          <w:tcPr>
            <w:tcW w:w="5892" w:type="dxa"/>
            <w:noWrap w:val="0"/>
            <w:vAlign w:val="center"/>
          </w:tcPr>
          <w:p w14:paraId="18D1FC57">
            <w:pPr>
              <w:snapToGrid w:val="0"/>
              <w:rPr>
                <w:rFonts w:hint="eastAsia" w:ascii="宋体" w:hAnsi="宋体"/>
                <w:color w:val="auto"/>
                <w:sz w:val="22"/>
                <w:highlight w:val="none"/>
              </w:rPr>
            </w:pPr>
          </w:p>
        </w:tc>
        <w:tc>
          <w:tcPr>
            <w:tcW w:w="820" w:type="dxa"/>
            <w:noWrap w:val="0"/>
            <w:vAlign w:val="center"/>
          </w:tcPr>
          <w:p w14:paraId="117859FC">
            <w:pPr>
              <w:snapToGrid w:val="0"/>
              <w:jc w:val="center"/>
              <w:rPr>
                <w:rFonts w:hint="eastAsia" w:ascii="宋体" w:hAnsi="宋体"/>
                <w:color w:val="auto"/>
                <w:sz w:val="22"/>
                <w:highlight w:val="none"/>
              </w:rPr>
            </w:pPr>
          </w:p>
        </w:tc>
        <w:tc>
          <w:tcPr>
            <w:tcW w:w="851" w:type="dxa"/>
            <w:noWrap w:val="0"/>
            <w:vAlign w:val="center"/>
          </w:tcPr>
          <w:p w14:paraId="70E7E70E">
            <w:pPr>
              <w:snapToGrid w:val="0"/>
              <w:jc w:val="center"/>
              <w:rPr>
                <w:rFonts w:hint="eastAsia" w:ascii="宋体" w:hAnsi="宋体"/>
                <w:color w:val="auto"/>
                <w:sz w:val="22"/>
                <w:highlight w:val="none"/>
              </w:rPr>
            </w:pPr>
          </w:p>
        </w:tc>
        <w:tc>
          <w:tcPr>
            <w:tcW w:w="1276" w:type="dxa"/>
            <w:noWrap w:val="0"/>
            <w:vAlign w:val="center"/>
          </w:tcPr>
          <w:p w14:paraId="0F50FF94">
            <w:pPr>
              <w:snapToGrid w:val="0"/>
              <w:jc w:val="center"/>
              <w:rPr>
                <w:rFonts w:hint="eastAsia" w:ascii="宋体" w:hAnsi="宋体"/>
                <w:color w:val="auto"/>
                <w:sz w:val="22"/>
                <w:highlight w:val="none"/>
              </w:rPr>
            </w:pPr>
            <w:r>
              <w:rPr>
                <w:rFonts w:hint="eastAsia" w:ascii="宋体" w:hAnsi="宋体"/>
                <w:color w:val="auto"/>
                <w:sz w:val="22"/>
                <w:highlight w:val="none"/>
              </w:rPr>
              <w:t>第（）页</w:t>
            </w:r>
          </w:p>
        </w:tc>
      </w:tr>
      <w:tr w14:paraId="2509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67" w:type="dxa"/>
            <w:gridSpan w:val="2"/>
            <w:noWrap w:val="0"/>
            <w:vAlign w:val="center"/>
          </w:tcPr>
          <w:p w14:paraId="215042C0">
            <w:pPr>
              <w:snapToGrid w:val="0"/>
              <w:jc w:val="center"/>
              <w:rPr>
                <w:rFonts w:hint="eastAsia" w:ascii="宋体" w:hAnsi="宋体"/>
                <w:color w:val="auto"/>
                <w:sz w:val="22"/>
                <w:highlight w:val="none"/>
              </w:rPr>
            </w:pPr>
            <w:r>
              <w:rPr>
                <w:rFonts w:hint="eastAsia" w:ascii="宋体" w:hAnsi="宋体" w:cs="宋体"/>
                <w:b/>
                <w:color w:val="auto"/>
                <w:sz w:val="22"/>
                <w:highlight w:val="none"/>
              </w:rPr>
              <w:t>商务部分总分合计</w:t>
            </w:r>
          </w:p>
        </w:tc>
        <w:tc>
          <w:tcPr>
            <w:tcW w:w="820" w:type="dxa"/>
            <w:noWrap w:val="0"/>
            <w:vAlign w:val="center"/>
          </w:tcPr>
          <w:p w14:paraId="3337D146">
            <w:pPr>
              <w:snapToGrid w:val="0"/>
              <w:jc w:val="center"/>
              <w:rPr>
                <w:rFonts w:hint="eastAsia" w:ascii="宋体" w:hAnsi="宋体"/>
                <w:color w:val="auto"/>
                <w:sz w:val="22"/>
                <w:highlight w:val="none"/>
              </w:rPr>
            </w:pPr>
          </w:p>
        </w:tc>
        <w:tc>
          <w:tcPr>
            <w:tcW w:w="851" w:type="dxa"/>
            <w:noWrap w:val="0"/>
            <w:vAlign w:val="center"/>
          </w:tcPr>
          <w:p w14:paraId="6DE2FA20">
            <w:pPr>
              <w:snapToGrid w:val="0"/>
              <w:jc w:val="center"/>
              <w:rPr>
                <w:rFonts w:hint="eastAsia" w:ascii="宋体" w:hAnsi="宋体"/>
                <w:color w:val="auto"/>
                <w:sz w:val="22"/>
                <w:highlight w:val="none"/>
              </w:rPr>
            </w:pPr>
          </w:p>
        </w:tc>
        <w:tc>
          <w:tcPr>
            <w:tcW w:w="1276" w:type="dxa"/>
            <w:noWrap w:val="0"/>
            <w:vAlign w:val="center"/>
          </w:tcPr>
          <w:p w14:paraId="7A1FBCC4">
            <w:pPr>
              <w:snapToGrid w:val="0"/>
              <w:jc w:val="center"/>
              <w:rPr>
                <w:rFonts w:hint="eastAsia" w:ascii="宋体" w:hAnsi="宋体"/>
                <w:color w:val="auto"/>
                <w:sz w:val="22"/>
                <w:highlight w:val="none"/>
              </w:rPr>
            </w:pPr>
            <w:r>
              <w:rPr>
                <w:rFonts w:hint="eastAsia" w:ascii="宋体" w:hAnsi="宋体"/>
                <w:color w:val="auto"/>
                <w:sz w:val="22"/>
                <w:highlight w:val="none"/>
              </w:rPr>
              <w:t>/</w:t>
            </w:r>
          </w:p>
        </w:tc>
      </w:tr>
    </w:tbl>
    <w:p w14:paraId="33F1ADFC">
      <w:pPr>
        <w:spacing w:line="360" w:lineRule="auto"/>
        <w:ind w:left="738" w:hanging="738" w:hangingChars="350"/>
        <w:rPr>
          <w:rFonts w:ascii="宋体" w:hAnsi="宋体"/>
          <w:b/>
          <w:color w:val="auto"/>
          <w:sz w:val="21"/>
          <w:szCs w:val="21"/>
          <w:highlight w:val="none"/>
          <w:u w:val="double"/>
        </w:rPr>
      </w:pPr>
    </w:p>
    <w:p w14:paraId="790A5326">
      <w:pPr>
        <w:spacing w:line="360" w:lineRule="auto"/>
        <w:ind w:left="738" w:hanging="738" w:hangingChars="350"/>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填表说明及要求：</w:t>
      </w:r>
    </w:p>
    <w:p w14:paraId="272D2C72">
      <w:pPr>
        <w:tabs>
          <w:tab w:val="left" w:pos="540"/>
        </w:tabs>
        <w:snapToGrid w:val="0"/>
        <w:spacing w:line="360"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1.  本表所填写内容若不属实</w:t>
      </w:r>
      <w:r>
        <w:rPr>
          <w:rFonts w:hint="eastAsia" w:ascii="宋体" w:hAnsi="宋体"/>
          <w:color w:val="auto"/>
          <w:sz w:val="21"/>
          <w:szCs w:val="21"/>
          <w:highlight w:val="none"/>
        </w:rPr>
        <w:t>或存在偏差</w:t>
      </w:r>
      <w:r>
        <w:rPr>
          <w:rFonts w:hint="eastAsia" w:ascii="宋体" w:hAnsi="宋体"/>
          <w:color w:val="auto"/>
          <w:sz w:val="21"/>
          <w:szCs w:val="21"/>
          <w:highlight w:val="none"/>
          <w:lang w:val="en-GB"/>
        </w:rPr>
        <w:t>，不属于无效磋商条件，实际以供应商提供的材料为准。</w:t>
      </w:r>
    </w:p>
    <w:p w14:paraId="5C0BF1EF">
      <w:pPr>
        <w:tabs>
          <w:tab w:val="left" w:pos="540"/>
        </w:tabs>
        <w:snapToGrid w:val="0"/>
        <w:spacing w:line="360"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2.  本表由供应商如实填写，以供磋商小组参考，否则可能影响供应商的得分。</w:t>
      </w:r>
    </w:p>
    <w:p w14:paraId="7B2DE966">
      <w:pPr>
        <w:rPr>
          <w:rFonts w:ascii="宋体" w:hAnsi="宋体"/>
          <w:color w:val="auto"/>
          <w:sz w:val="22"/>
          <w:highlight w:val="none"/>
        </w:rPr>
      </w:pPr>
      <w:r>
        <w:rPr>
          <w:rFonts w:ascii="宋体" w:hAnsi="宋体"/>
          <w:color w:val="auto"/>
          <w:highlight w:val="none"/>
        </w:rPr>
        <w:br w:type="page"/>
      </w:r>
      <w:r>
        <w:rPr>
          <w:rFonts w:ascii="宋体" w:hAnsi="宋体"/>
          <w:b/>
          <w:bCs/>
          <w:color w:val="auto"/>
          <w:sz w:val="22"/>
          <w:highlight w:val="none"/>
        </w:rPr>
        <w:t>实质性条款（“★”项）响应表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62"/>
        <w:gridCol w:w="1945"/>
        <w:gridCol w:w="1945"/>
        <w:gridCol w:w="1945"/>
      </w:tblGrid>
      <w:tr w14:paraId="10FC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shd w:val="clear" w:color="auto" w:fill="A4A4A4"/>
            <w:noWrap w:val="0"/>
            <w:vAlign w:val="center"/>
          </w:tcPr>
          <w:p w14:paraId="4AC09778">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序号</w:t>
            </w:r>
          </w:p>
        </w:tc>
        <w:tc>
          <w:tcPr>
            <w:tcW w:w="3062" w:type="dxa"/>
            <w:shd w:val="clear" w:color="auto" w:fill="A4A4A4"/>
            <w:noWrap w:val="0"/>
            <w:vAlign w:val="center"/>
          </w:tcPr>
          <w:p w14:paraId="7E325DC4">
            <w:pPr>
              <w:jc w:val="center"/>
              <w:rPr>
                <w:rFonts w:ascii="宋体" w:hAnsi="宋体"/>
                <w:b/>
                <w:bCs/>
                <w:color w:val="auto"/>
                <w:sz w:val="21"/>
                <w:szCs w:val="21"/>
                <w:highlight w:val="none"/>
              </w:rPr>
            </w:pPr>
            <w:r>
              <w:rPr>
                <w:rFonts w:ascii="宋体" w:hAnsi="宋体"/>
                <w:b/>
                <w:bCs/>
                <w:color w:val="auto"/>
                <w:sz w:val="21"/>
                <w:szCs w:val="21"/>
                <w:highlight w:val="none"/>
              </w:rPr>
              <w:t>实质性响应条款要求</w:t>
            </w:r>
          </w:p>
        </w:tc>
        <w:tc>
          <w:tcPr>
            <w:tcW w:w="1945" w:type="dxa"/>
            <w:shd w:val="clear" w:color="auto" w:fill="A4A4A4"/>
            <w:noWrap w:val="0"/>
            <w:vAlign w:val="center"/>
          </w:tcPr>
          <w:p w14:paraId="1D54FAED">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是否响应</w:t>
            </w:r>
          </w:p>
        </w:tc>
        <w:tc>
          <w:tcPr>
            <w:tcW w:w="1945" w:type="dxa"/>
            <w:shd w:val="clear" w:color="auto" w:fill="A4A4A4"/>
            <w:noWrap w:val="0"/>
            <w:vAlign w:val="center"/>
          </w:tcPr>
          <w:p w14:paraId="43DF2A02">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资料所在页码</w:t>
            </w:r>
          </w:p>
        </w:tc>
        <w:tc>
          <w:tcPr>
            <w:tcW w:w="1945" w:type="dxa"/>
            <w:shd w:val="clear" w:color="auto" w:fill="A4A4A4"/>
            <w:noWrap w:val="0"/>
            <w:vAlign w:val="center"/>
          </w:tcPr>
          <w:p w14:paraId="053082A5">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偏离说明</w:t>
            </w:r>
          </w:p>
        </w:tc>
      </w:tr>
      <w:tr w14:paraId="2E67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6DB008AA">
            <w:pPr>
              <w:spacing w:line="480" w:lineRule="auto"/>
              <w:jc w:val="center"/>
              <w:rPr>
                <w:rFonts w:ascii="宋体" w:hAnsi="宋体"/>
                <w:color w:val="auto"/>
                <w:sz w:val="21"/>
                <w:szCs w:val="21"/>
                <w:highlight w:val="none"/>
              </w:rPr>
            </w:pPr>
          </w:p>
        </w:tc>
        <w:tc>
          <w:tcPr>
            <w:tcW w:w="3062" w:type="dxa"/>
            <w:noWrap w:val="0"/>
            <w:vAlign w:val="center"/>
          </w:tcPr>
          <w:p w14:paraId="421FABCD">
            <w:pPr>
              <w:spacing w:line="480" w:lineRule="auto"/>
              <w:jc w:val="center"/>
              <w:rPr>
                <w:rFonts w:ascii="宋体" w:hAnsi="宋体"/>
                <w:color w:val="auto"/>
                <w:sz w:val="21"/>
                <w:szCs w:val="21"/>
                <w:highlight w:val="none"/>
              </w:rPr>
            </w:pPr>
          </w:p>
        </w:tc>
        <w:tc>
          <w:tcPr>
            <w:tcW w:w="1945" w:type="dxa"/>
            <w:noWrap w:val="0"/>
            <w:vAlign w:val="center"/>
          </w:tcPr>
          <w:p w14:paraId="1ADC569D">
            <w:pPr>
              <w:spacing w:line="480" w:lineRule="auto"/>
              <w:jc w:val="center"/>
              <w:rPr>
                <w:rFonts w:ascii="宋体" w:hAnsi="宋体"/>
                <w:color w:val="auto"/>
                <w:sz w:val="21"/>
                <w:szCs w:val="21"/>
                <w:highlight w:val="none"/>
              </w:rPr>
            </w:pPr>
          </w:p>
        </w:tc>
        <w:tc>
          <w:tcPr>
            <w:tcW w:w="1945" w:type="dxa"/>
            <w:noWrap w:val="0"/>
            <w:vAlign w:val="center"/>
          </w:tcPr>
          <w:p w14:paraId="6CFC9F91">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6BC14B59">
            <w:pPr>
              <w:spacing w:line="480" w:lineRule="auto"/>
              <w:jc w:val="center"/>
              <w:rPr>
                <w:rFonts w:ascii="宋体" w:hAnsi="宋体"/>
                <w:color w:val="auto"/>
                <w:sz w:val="21"/>
                <w:szCs w:val="21"/>
                <w:highlight w:val="none"/>
              </w:rPr>
            </w:pPr>
          </w:p>
        </w:tc>
      </w:tr>
      <w:tr w14:paraId="45DE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6590089">
            <w:pPr>
              <w:spacing w:line="480" w:lineRule="auto"/>
              <w:jc w:val="center"/>
              <w:rPr>
                <w:rFonts w:ascii="宋体" w:hAnsi="宋体"/>
                <w:color w:val="auto"/>
                <w:sz w:val="21"/>
                <w:szCs w:val="21"/>
                <w:highlight w:val="none"/>
              </w:rPr>
            </w:pPr>
          </w:p>
        </w:tc>
        <w:tc>
          <w:tcPr>
            <w:tcW w:w="3062" w:type="dxa"/>
            <w:noWrap w:val="0"/>
            <w:vAlign w:val="center"/>
          </w:tcPr>
          <w:p w14:paraId="7EC39170">
            <w:pPr>
              <w:spacing w:line="480" w:lineRule="auto"/>
              <w:jc w:val="center"/>
              <w:rPr>
                <w:rFonts w:ascii="宋体" w:hAnsi="宋体"/>
                <w:color w:val="auto"/>
                <w:sz w:val="21"/>
                <w:szCs w:val="21"/>
                <w:highlight w:val="none"/>
              </w:rPr>
            </w:pPr>
          </w:p>
        </w:tc>
        <w:tc>
          <w:tcPr>
            <w:tcW w:w="1945" w:type="dxa"/>
            <w:noWrap w:val="0"/>
            <w:vAlign w:val="center"/>
          </w:tcPr>
          <w:p w14:paraId="325412DC">
            <w:pPr>
              <w:spacing w:line="480" w:lineRule="auto"/>
              <w:jc w:val="center"/>
              <w:rPr>
                <w:rFonts w:ascii="宋体" w:hAnsi="宋体"/>
                <w:color w:val="auto"/>
                <w:sz w:val="21"/>
                <w:szCs w:val="21"/>
                <w:highlight w:val="none"/>
              </w:rPr>
            </w:pPr>
          </w:p>
        </w:tc>
        <w:tc>
          <w:tcPr>
            <w:tcW w:w="1945" w:type="dxa"/>
            <w:noWrap w:val="0"/>
            <w:vAlign w:val="center"/>
          </w:tcPr>
          <w:p w14:paraId="0FFEA90D">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54A099B6">
            <w:pPr>
              <w:spacing w:line="480" w:lineRule="auto"/>
              <w:jc w:val="center"/>
              <w:rPr>
                <w:rFonts w:ascii="宋体" w:hAnsi="宋体"/>
                <w:color w:val="auto"/>
                <w:sz w:val="21"/>
                <w:szCs w:val="21"/>
                <w:highlight w:val="none"/>
              </w:rPr>
            </w:pPr>
          </w:p>
        </w:tc>
      </w:tr>
      <w:tr w14:paraId="112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48EC89EA">
            <w:pPr>
              <w:spacing w:line="480" w:lineRule="auto"/>
              <w:jc w:val="center"/>
              <w:rPr>
                <w:rFonts w:ascii="宋体" w:hAnsi="宋体"/>
                <w:color w:val="auto"/>
                <w:sz w:val="21"/>
                <w:szCs w:val="21"/>
                <w:highlight w:val="none"/>
              </w:rPr>
            </w:pPr>
          </w:p>
        </w:tc>
        <w:tc>
          <w:tcPr>
            <w:tcW w:w="3062" w:type="dxa"/>
            <w:noWrap w:val="0"/>
            <w:vAlign w:val="center"/>
          </w:tcPr>
          <w:p w14:paraId="259FDE62">
            <w:pPr>
              <w:spacing w:line="480" w:lineRule="auto"/>
              <w:jc w:val="center"/>
              <w:rPr>
                <w:rFonts w:ascii="宋体" w:hAnsi="宋体"/>
                <w:color w:val="auto"/>
                <w:sz w:val="21"/>
                <w:szCs w:val="21"/>
                <w:highlight w:val="none"/>
              </w:rPr>
            </w:pPr>
          </w:p>
        </w:tc>
        <w:tc>
          <w:tcPr>
            <w:tcW w:w="1945" w:type="dxa"/>
            <w:noWrap w:val="0"/>
            <w:vAlign w:val="center"/>
          </w:tcPr>
          <w:p w14:paraId="0FD45A8B">
            <w:pPr>
              <w:spacing w:line="480" w:lineRule="auto"/>
              <w:jc w:val="center"/>
              <w:rPr>
                <w:rFonts w:ascii="宋体" w:hAnsi="宋体"/>
                <w:color w:val="auto"/>
                <w:sz w:val="21"/>
                <w:szCs w:val="21"/>
                <w:highlight w:val="none"/>
              </w:rPr>
            </w:pPr>
          </w:p>
        </w:tc>
        <w:tc>
          <w:tcPr>
            <w:tcW w:w="1945" w:type="dxa"/>
            <w:noWrap w:val="0"/>
            <w:vAlign w:val="center"/>
          </w:tcPr>
          <w:p w14:paraId="1DF472AB">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5E78DC81">
            <w:pPr>
              <w:spacing w:line="480" w:lineRule="auto"/>
              <w:jc w:val="center"/>
              <w:rPr>
                <w:rFonts w:ascii="宋体" w:hAnsi="宋体"/>
                <w:color w:val="auto"/>
                <w:sz w:val="21"/>
                <w:szCs w:val="21"/>
                <w:highlight w:val="none"/>
              </w:rPr>
            </w:pPr>
          </w:p>
        </w:tc>
      </w:tr>
      <w:tr w14:paraId="4C7C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1E3861F6">
            <w:pPr>
              <w:spacing w:line="480" w:lineRule="auto"/>
              <w:jc w:val="center"/>
              <w:rPr>
                <w:rFonts w:ascii="宋体" w:hAnsi="宋体"/>
                <w:color w:val="auto"/>
                <w:sz w:val="21"/>
                <w:szCs w:val="21"/>
                <w:highlight w:val="none"/>
              </w:rPr>
            </w:pPr>
          </w:p>
        </w:tc>
        <w:tc>
          <w:tcPr>
            <w:tcW w:w="3062" w:type="dxa"/>
            <w:noWrap w:val="0"/>
            <w:vAlign w:val="center"/>
          </w:tcPr>
          <w:p w14:paraId="7F8896F4">
            <w:pPr>
              <w:spacing w:line="480" w:lineRule="auto"/>
              <w:jc w:val="center"/>
              <w:rPr>
                <w:rFonts w:ascii="宋体" w:hAnsi="宋体"/>
                <w:color w:val="auto"/>
                <w:sz w:val="21"/>
                <w:szCs w:val="21"/>
                <w:highlight w:val="none"/>
              </w:rPr>
            </w:pPr>
          </w:p>
        </w:tc>
        <w:tc>
          <w:tcPr>
            <w:tcW w:w="1945" w:type="dxa"/>
            <w:noWrap w:val="0"/>
            <w:vAlign w:val="center"/>
          </w:tcPr>
          <w:p w14:paraId="25BA2FBA">
            <w:pPr>
              <w:spacing w:line="480" w:lineRule="auto"/>
              <w:jc w:val="center"/>
              <w:rPr>
                <w:rFonts w:ascii="宋体" w:hAnsi="宋体"/>
                <w:color w:val="auto"/>
                <w:sz w:val="21"/>
                <w:szCs w:val="21"/>
                <w:highlight w:val="none"/>
              </w:rPr>
            </w:pPr>
          </w:p>
        </w:tc>
        <w:tc>
          <w:tcPr>
            <w:tcW w:w="1945" w:type="dxa"/>
            <w:noWrap w:val="0"/>
            <w:vAlign w:val="center"/>
          </w:tcPr>
          <w:p w14:paraId="5E7609C5">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659BE2F3">
            <w:pPr>
              <w:spacing w:line="480" w:lineRule="auto"/>
              <w:jc w:val="center"/>
              <w:rPr>
                <w:rFonts w:ascii="宋体" w:hAnsi="宋体"/>
                <w:color w:val="auto"/>
                <w:sz w:val="21"/>
                <w:szCs w:val="21"/>
                <w:highlight w:val="none"/>
              </w:rPr>
            </w:pPr>
          </w:p>
        </w:tc>
      </w:tr>
      <w:tr w14:paraId="4EEE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D4D418D">
            <w:pPr>
              <w:spacing w:line="480" w:lineRule="auto"/>
              <w:jc w:val="center"/>
              <w:rPr>
                <w:rFonts w:ascii="宋体" w:hAnsi="宋体"/>
                <w:color w:val="auto"/>
                <w:sz w:val="21"/>
                <w:szCs w:val="21"/>
                <w:highlight w:val="none"/>
              </w:rPr>
            </w:pPr>
          </w:p>
        </w:tc>
        <w:tc>
          <w:tcPr>
            <w:tcW w:w="3062" w:type="dxa"/>
            <w:noWrap w:val="0"/>
            <w:vAlign w:val="center"/>
          </w:tcPr>
          <w:p w14:paraId="6ECCB53A">
            <w:pPr>
              <w:spacing w:line="480" w:lineRule="auto"/>
              <w:jc w:val="center"/>
              <w:rPr>
                <w:rFonts w:ascii="宋体" w:hAnsi="宋体"/>
                <w:color w:val="auto"/>
                <w:sz w:val="21"/>
                <w:szCs w:val="21"/>
                <w:highlight w:val="none"/>
              </w:rPr>
            </w:pPr>
          </w:p>
        </w:tc>
        <w:tc>
          <w:tcPr>
            <w:tcW w:w="1945" w:type="dxa"/>
            <w:noWrap w:val="0"/>
            <w:vAlign w:val="center"/>
          </w:tcPr>
          <w:p w14:paraId="34F64F7C">
            <w:pPr>
              <w:spacing w:line="480" w:lineRule="auto"/>
              <w:jc w:val="center"/>
              <w:rPr>
                <w:rFonts w:ascii="宋体" w:hAnsi="宋体"/>
                <w:color w:val="auto"/>
                <w:sz w:val="21"/>
                <w:szCs w:val="21"/>
                <w:highlight w:val="none"/>
              </w:rPr>
            </w:pPr>
          </w:p>
        </w:tc>
        <w:tc>
          <w:tcPr>
            <w:tcW w:w="1945" w:type="dxa"/>
            <w:noWrap w:val="0"/>
            <w:vAlign w:val="center"/>
          </w:tcPr>
          <w:p w14:paraId="23FB7BB0">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6C4A1688">
            <w:pPr>
              <w:spacing w:line="480" w:lineRule="auto"/>
              <w:jc w:val="center"/>
              <w:rPr>
                <w:rFonts w:ascii="宋体" w:hAnsi="宋体"/>
                <w:color w:val="auto"/>
                <w:sz w:val="21"/>
                <w:szCs w:val="21"/>
                <w:highlight w:val="none"/>
              </w:rPr>
            </w:pPr>
          </w:p>
        </w:tc>
      </w:tr>
      <w:tr w14:paraId="3300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558F4985">
            <w:pPr>
              <w:spacing w:line="480" w:lineRule="auto"/>
              <w:jc w:val="center"/>
              <w:rPr>
                <w:rFonts w:ascii="宋体" w:hAnsi="宋体"/>
                <w:color w:val="auto"/>
                <w:sz w:val="21"/>
                <w:szCs w:val="21"/>
                <w:highlight w:val="none"/>
              </w:rPr>
            </w:pPr>
          </w:p>
        </w:tc>
        <w:tc>
          <w:tcPr>
            <w:tcW w:w="3062" w:type="dxa"/>
            <w:noWrap w:val="0"/>
            <w:vAlign w:val="center"/>
          </w:tcPr>
          <w:p w14:paraId="45A41A05">
            <w:pPr>
              <w:spacing w:line="480" w:lineRule="auto"/>
              <w:jc w:val="center"/>
              <w:rPr>
                <w:rFonts w:ascii="宋体" w:hAnsi="宋体"/>
                <w:color w:val="auto"/>
                <w:sz w:val="21"/>
                <w:szCs w:val="21"/>
                <w:highlight w:val="none"/>
              </w:rPr>
            </w:pPr>
          </w:p>
        </w:tc>
        <w:tc>
          <w:tcPr>
            <w:tcW w:w="1945" w:type="dxa"/>
            <w:noWrap w:val="0"/>
            <w:vAlign w:val="center"/>
          </w:tcPr>
          <w:p w14:paraId="2D82421A">
            <w:pPr>
              <w:spacing w:line="480" w:lineRule="auto"/>
              <w:jc w:val="center"/>
              <w:rPr>
                <w:rFonts w:ascii="宋体" w:hAnsi="宋体"/>
                <w:color w:val="auto"/>
                <w:sz w:val="21"/>
                <w:szCs w:val="21"/>
                <w:highlight w:val="none"/>
              </w:rPr>
            </w:pPr>
          </w:p>
        </w:tc>
        <w:tc>
          <w:tcPr>
            <w:tcW w:w="1945" w:type="dxa"/>
            <w:noWrap w:val="0"/>
            <w:vAlign w:val="center"/>
          </w:tcPr>
          <w:p w14:paraId="1DE65138">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0FE347A3">
            <w:pPr>
              <w:spacing w:line="480" w:lineRule="auto"/>
              <w:jc w:val="center"/>
              <w:rPr>
                <w:rFonts w:ascii="宋体" w:hAnsi="宋体"/>
                <w:color w:val="auto"/>
                <w:sz w:val="21"/>
                <w:szCs w:val="21"/>
                <w:highlight w:val="none"/>
              </w:rPr>
            </w:pPr>
          </w:p>
        </w:tc>
      </w:tr>
      <w:tr w14:paraId="7BB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DEA85C7">
            <w:pPr>
              <w:spacing w:line="480" w:lineRule="auto"/>
              <w:jc w:val="center"/>
              <w:rPr>
                <w:rFonts w:ascii="宋体" w:hAnsi="宋体"/>
                <w:color w:val="auto"/>
                <w:sz w:val="21"/>
                <w:szCs w:val="21"/>
                <w:highlight w:val="none"/>
              </w:rPr>
            </w:pPr>
          </w:p>
        </w:tc>
        <w:tc>
          <w:tcPr>
            <w:tcW w:w="3062" w:type="dxa"/>
            <w:noWrap w:val="0"/>
            <w:vAlign w:val="center"/>
          </w:tcPr>
          <w:p w14:paraId="5DCFDC27">
            <w:pPr>
              <w:spacing w:line="480" w:lineRule="auto"/>
              <w:jc w:val="center"/>
              <w:rPr>
                <w:rFonts w:ascii="宋体" w:hAnsi="宋体"/>
                <w:color w:val="auto"/>
                <w:sz w:val="21"/>
                <w:szCs w:val="21"/>
                <w:highlight w:val="none"/>
              </w:rPr>
            </w:pPr>
          </w:p>
        </w:tc>
        <w:tc>
          <w:tcPr>
            <w:tcW w:w="1945" w:type="dxa"/>
            <w:noWrap w:val="0"/>
            <w:vAlign w:val="center"/>
          </w:tcPr>
          <w:p w14:paraId="66B93787">
            <w:pPr>
              <w:spacing w:line="480" w:lineRule="auto"/>
              <w:jc w:val="center"/>
              <w:rPr>
                <w:rFonts w:ascii="宋体" w:hAnsi="宋体"/>
                <w:color w:val="auto"/>
                <w:sz w:val="21"/>
                <w:szCs w:val="21"/>
                <w:highlight w:val="none"/>
              </w:rPr>
            </w:pPr>
          </w:p>
        </w:tc>
        <w:tc>
          <w:tcPr>
            <w:tcW w:w="1945" w:type="dxa"/>
            <w:noWrap w:val="0"/>
            <w:vAlign w:val="center"/>
          </w:tcPr>
          <w:p w14:paraId="1B0178B8">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详见  页</w:t>
            </w:r>
          </w:p>
        </w:tc>
        <w:tc>
          <w:tcPr>
            <w:tcW w:w="1945" w:type="dxa"/>
            <w:noWrap w:val="0"/>
            <w:vAlign w:val="center"/>
          </w:tcPr>
          <w:p w14:paraId="2647A206">
            <w:pPr>
              <w:spacing w:line="480" w:lineRule="auto"/>
              <w:jc w:val="center"/>
              <w:rPr>
                <w:rFonts w:ascii="宋体" w:hAnsi="宋体"/>
                <w:color w:val="auto"/>
                <w:sz w:val="21"/>
                <w:szCs w:val="21"/>
                <w:highlight w:val="none"/>
              </w:rPr>
            </w:pPr>
          </w:p>
        </w:tc>
      </w:tr>
    </w:tbl>
    <w:p w14:paraId="02844670">
      <w:pPr>
        <w:rPr>
          <w:rFonts w:ascii="宋体" w:hAnsi="宋体"/>
          <w:color w:val="auto"/>
          <w:sz w:val="21"/>
          <w:szCs w:val="21"/>
          <w:highlight w:val="none"/>
        </w:rPr>
      </w:pPr>
      <w:r>
        <w:rPr>
          <w:rFonts w:ascii="宋体" w:hAnsi="宋体"/>
          <w:color w:val="auto"/>
          <w:sz w:val="21"/>
          <w:szCs w:val="21"/>
          <w:highlight w:val="none"/>
        </w:rPr>
        <w:t xml:space="preserve"> </w:t>
      </w:r>
    </w:p>
    <w:p w14:paraId="4272868D">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注：</w:t>
      </w:r>
    </w:p>
    <w:p w14:paraId="1107F652">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1.对于上述要求，如</w:t>
      </w:r>
      <w:r>
        <w:rPr>
          <w:rFonts w:hint="eastAsia" w:ascii="宋体" w:hAnsi="宋体" w:eastAsia="宋体" w:cs="Times New Roman"/>
          <w:color w:val="auto"/>
          <w:kern w:val="0"/>
          <w:sz w:val="21"/>
          <w:szCs w:val="21"/>
          <w:highlight w:val="none"/>
          <w:lang w:val="en-US" w:eastAsia="zh-CN" w:bidi="ar-SA"/>
        </w:rPr>
        <w:t>供应商</w:t>
      </w:r>
      <w:r>
        <w:rPr>
          <w:rFonts w:ascii="宋体" w:hAnsi="宋体" w:eastAsia="宋体" w:cs="Times New Roman"/>
          <w:color w:val="auto"/>
          <w:kern w:val="0"/>
          <w:sz w:val="21"/>
          <w:szCs w:val="21"/>
          <w:highlight w:val="none"/>
          <w:lang w:val="en-US" w:eastAsia="zh-CN" w:bidi="ar-SA"/>
        </w:rPr>
        <w:t>人完全响应，则请在“是否响应”栏内打“√”，对空白或打“×”视为偏离，请在“偏离说明”栏内扼要说明偏离情况。</w:t>
      </w:r>
    </w:p>
    <w:p w14:paraId="2E35CA61">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2.此表内容必须与</w:t>
      </w:r>
      <w:r>
        <w:rPr>
          <w:rFonts w:hint="eastAsia" w:ascii="宋体" w:hAnsi="宋体" w:eastAsia="宋体" w:cs="Times New Roman"/>
          <w:color w:val="auto"/>
          <w:kern w:val="0"/>
          <w:sz w:val="21"/>
          <w:szCs w:val="21"/>
          <w:highlight w:val="none"/>
          <w:lang w:val="en-US" w:eastAsia="zh-CN" w:bidi="ar-SA"/>
        </w:rPr>
        <w:t>采购项目要求</w:t>
      </w:r>
      <w:r>
        <w:rPr>
          <w:rFonts w:ascii="宋体" w:hAnsi="宋体" w:eastAsia="宋体" w:cs="Times New Roman"/>
          <w:color w:val="auto"/>
          <w:kern w:val="0"/>
          <w:sz w:val="21"/>
          <w:szCs w:val="21"/>
          <w:highlight w:val="none"/>
          <w:lang w:val="en-US" w:eastAsia="zh-CN" w:bidi="ar-SA"/>
        </w:rPr>
        <w:t>的内容一致，打“★”项为不可负偏离(劣于)的重要项。</w:t>
      </w:r>
    </w:p>
    <w:p w14:paraId="58C64717">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3.本表内容不得擅自修改。</w:t>
      </w:r>
    </w:p>
    <w:p w14:paraId="5A73A5F0">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t>4.当招标文件中未设置“★”项条款时，应在此表中直接填写：本项目未设置“★”项条款。</w:t>
      </w:r>
    </w:p>
    <w:p w14:paraId="50271D20">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p>
    <w:p w14:paraId="75B742A1">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p>
    <w:p w14:paraId="11A7A0EB">
      <w:pPr>
        <w:widowControl/>
        <w:spacing w:before="100" w:beforeAutospacing="1" w:after="100" w:afterAutospacing="1"/>
        <w:jc w:val="left"/>
        <w:rPr>
          <w:rFonts w:ascii="宋体" w:hAnsi="宋体" w:eastAsia="宋体" w:cs="Times New Roman"/>
          <w:color w:val="auto"/>
          <w:kern w:val="0"/>
          <w:sz w:val="21"/>
          <w:szCs w:val="21"/>
          <w:highlight w:val="none"/>
          <w:lang w:val="en-US" w:eastAsia="zh-CN" w:bidi="ar-SA"/>
        </w:rPr>
      </w:pPr>
    </w:p>
    <w:p w14:paraId="15381E84">
      <w:pPr>
        <w:tabs>
          <w:tab w:val="left" w:pos="-3780"/>
        </w:tabs>
        <w:spacing w:line="360" w:lineRule="auto"/>
        <w:rPr>
          <w:color w:val="auto"/>
          <w:sz w:val="21"/>
          <w:szCs w:val="21"/>
          <w:highlight w:val="none"/>
        </w:rPr>
      </w:pPr>
      <w:r>
        <w:rPr>
          <w:color w:val="auto"/>
          <w:sz w:val="21"/>
          <w:szCs w:val="21"/>
          <w:highlight w:val="none"/>
        </w:rPr>
        <w:t>供应商：</w:t>
      </w:r>
      <w:r>
        <w:rPr>
          <w:color w:val="auto"/>
          <w:sz w:val="21"/>
          <w:szCs w:val="21"/>
          <w:highlight w:val="none"/>
          <w:u w:val="single"/>
        </w:rPr>
        <w:t xml:space="preserve">         （公司名称）          </w:t>
      </w:r>
      <w:r>
        <w:rPr>
          <w:color w:val="auto"/>
          <w:sz w:val="21"/>
          <w:szCs w:val="21"/>
          <w:highlight w:val="none"/>
        </w:rPr>
        <w:t>（盖公章）</w:t>
      </w:r>
    </w:p>
    <w:p w14:paraId="50501AEA">
      <w:pPr>
        <w:tabs>
          <w:tab w:val="left" w:pos="-3780"/>
        </w:tabs>
        <w:spacing w:line="360" w:lineRule="auto"/>
        <w:rPr>
          <w:color w:val="auto"/>
          <w:sz w:val="21"/>
          <w:szCs w:val="21"/>
          <w:highlight w:val="none"/>
          <w:u w:val="single"/>
        </w:rPr>
      </w:pPr>
      <w:r>
        <w:rPr>
          <w:color w:val="auto"/>
          <w:sz w:val="21"/>
          <w:szCs w:val="21"/>
          <w:highlight w:val="none"/>
        </w:rPr>
        <w:t>法定代表人（或全权代表）：</w:t>
      </w:r>
      <w:r>
        <w:rPr>
          <w:color w:val="auto"/>
          <w:sz w:val="21"/>
          <w:szCs w:val="21"/>
          <w:highlight w:val="none"/>
          <w:u w:val="single"/>
        </w:rPr>
        <w:t xml:space="preserve">    （签名或签章）  </w:t>
      </w:r>
    </w:p>
    <w:p w14:paraId="676E7CBB">
      <w:pPr>
        <w:spacing w:line="360" w:lineRule="auto"/>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A4A9843">
      <w:pPr>
        <w:rPr>
          <w:rFonts w:hint="eastAsia" w:ascii="宋体" w:hAnsi="宋体"/>
          <w:color w:val="auto"/>
          <w:highlight w:val="none"/>
        </w:rPr>
      </w:pPr>
    </w:p>
    <w:p w14:paraId="04022054">
      <w:pPr>
        <w:rPr>
          <w:rFonts w:ascii="宋体" w:hAnsi="宋体"/>
          <w:color w:val="auto"/>
          <w:highlight w:val="none"/>
        </w:rPr>
      </w:pPr>
    </w:p>
    <w:p w14:paraId="48C67504">
      <w:pPr>
        <w:rPr>
          <w:rFonts w:ascii="宋体" w:hAnsi="宋体"/>
          <w:color w:val="auto"/>
          <w:highlight w:val="none"/>
        </w:rPr>
      </w:pPr>
    </w:p>
    <w:p w14:paraId="52200CE2">
      <w:pPr>
        <w:rPr>
          <w:rFonts w:ascii="宋体" w:hAnsi="宋体"/>
          <w:color w:val="auto"/>
          <w:highlight w:val="none"/>
        </w:rPr>
      </w:pPr>
    </w:p>
    <w:p w14:paraId="79BF9D3B">
      <w:pPr>
        <w:rPr>
          <w:rFonts w:ascii="宋体" w:hAnsi="宋体"/>
          <w:color w:val="auto"/>
          <w:highlight w:val="none"/>
        </w:rPr>
      </w:pPr>
    </w:p>
    <w:p w14:paraId="090D46F8">
      <w:pPr>
        <w:rPr>
          <w:rFonts w:ascii="宋体" w:hAnsi="宋体"/>
          <w:color w:val="auto"/>
          <w:highlight w:val="none"/>
        </w:rPr>
      </w:pPr>
    </w:p>
    <w:p w14:paraId="25BA81B6">
      <w:pPr>
        <w:rPr>
          <w:rFonts w:ascii="宋体" w:hAnsi="宋体"/>
          <w:color w:val="auto"/>
          <w:highlight w:val="none"/>
        </w:rPr>
      </w:pPr>
    </w:p>
    <w:p w14:paraId="3CE61CCC">
      <w:pPr>
        <w:rPr>
          <w:rFonts w:ascii="宋体" w:hAnsi="宋体"/>
          <w:color w:val="auto"/>
          <w:highlight w:val="none"/>
        </w:rPr>
      </w:pPr>
    </w:p>
    <w:p w14:paraId="5FD1C25C">
      <w:pPr>
        <w:rPr>
          <w:rFonts w:ascii="宋体" w:hAnsi="宋体"/>
          <w:color w:val="auto"/>
          <w:highlight w:val="none"/>
        </w:rPr>
      </w:pPr>
    </w:p>
    <w:p w14:paraId="4D103597">
      <w:pPr>
        <w:rPr>
          <w:rFonts w:ascii="宋体" w:hAnsi="宋体"/>
          <w:color w:val="auto"/>
          <w:highlight w:val="none"/>
        </w:rPr>
      </w:pPr>
    </w:p>
    <w:p w14:paraId="48F98765">
      <w:pPr>
        <w:rPr>
          <w:rFonts w:ascii="宋体" w:hAnsi="宋体"/>
          <w:color w:val="auto"/>
          <w:highlight w:val="none"/>
        </w:rPr>
      </w:pPr>
    </w:p>
    <w:p w14:paraId="0832A0E4">
      <w:pPr>
        <w:rPr>
          <w:rFonts w:ascii="宋体" w:hAnsi="宋体"/>
          <w:color w:val="auto"/>
          <w:highlight w:val="none"/>
        </w:rPr>
      </w:pPr>
    </w:p>
    <w:p w14:paraId="1F65047C">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bookmarkStart w:id="118" w:name="_Toc23844"/>
    </w:p>
    <w:p w14:paraId="7F41E20F">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40B80F46">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688C40DA">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3C383EF1">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7B6799D1">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3FCCD579">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7119D3E7">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4D62BC97">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p>
    <w:p w14:paraId="792E1189">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r>
        <w:rPr>
          <w:rFonts w:hint="eastAsia" w:ascii="Cambria" w:hAnsi="Cambria" w:eastAsia="宋体" w:cs="Times New Roman"/>
          <w:b/>
          <w:bCs/>
          <w:color w:val="auto"/>
          <w:kern w:val="2"/>
          <w:sz w:val="52"/>
          <w:szCs w:val="32"/>
          <w:highlight w:val="none"/>
          <w:lang w:val="en-US" w:eastAsia="zh-CN" w:bidi="ar-SA"/>
        </w:rPr>
        <w:t>第二章  资格性文件</w:t>
      </w:r>
      <w:bookmarkEnd w:id="118"/>
    </w:p>
    <w:p w14:paraId="793DAB3C">
      <w:pPr>
        <w:rPr>
          <w:rFonts w:hint="eastAsia" w:ascii="宋体" w:hAnsi="宋体"/>
          <w:color w:val="auto"/>
          <w:highlight w:val="none"/>
        </w:rPr>
      </w:pPr>
    </w:p>
    <w:p w14:paraId="2021FA33">
      <w:pPr>
        <w:spacing w:line="360" w:lineRule="auto"/>
        <w:jc w:val="center"/>
        <w:rPr>
          <w:rFonts w:ascii="宋体" w:hAnsi="宋体"/>
          <w:color w:val="auto"/>
          <w:highlight w:val="none"/>
        </w:rPr>
      </w:pPr>
      <w:r>
        <w:rPr>
          <w:rFonts w:hint="eastAsia" w:ascii="宋体" w:hAnsi="宋体"/>
          <w:color w:val="auto"/>
          <w:highlight w:val="none"/>
        </w:rPr>
        <w:t>（注：本章内容为须提供内容，否则评审时将导致无效磋商，</w:t>
      </w:r>
    </w:p>
    <w:p w14:paraId="5C3B4914">
      <w:pPr>
        <w:spacing w:line="360" w:lineRule="auto"/>
        <w:jc w:val="center"/>
        <w:rPr>
          <w:rFonts w:hint="eastAsia" w:ascii="宋体" w:hAnsi="宋体"/>
          <w:color w:val="auto"/>
          <w:highlight w:val="none"/>
        </w:rPr>
      </w:pPr>
      <w:r>
        <w:rPr>
          <w:rFonts w:hint="eastAsia" w:ascii="宋体" w:hAnsi="宋体"/>
          <w:color w:val="auto"/>
          <w:highlight w:val="none"/>
        </w:rPr>
        <w:t>对此造成的后果由供应商自负。）</w:t>
      </w:r>
    </w:p>
    <w:p w14:paraId="242FAD23">
      <w:pPr>
        <w:rPr>
          <w:rFonts w:hint="eastAsia" w:ascii="宋体" w:hAnsi="宋体"/>
          <w:color w:val="auto"/>
          <w:highlight w:val="none"/>
        </w:rPr>
      </w:pPr>
    </w:p>
    <w:p w14:paraId="190BC10D">
      <w:pPr>
        <w:rPr>
          <w:rFonts w:hint="eastAsia" w:ascii="宋体" w:hAnsi="宋体"/>
          <w:color w:val="auto"/>
          <w:highlight w:val="none"/>
        </w:rPr>
      </w:pPr>
    </w:p>
    <w:p w14:paraId="0B473C17">
      <w:pPr>
        <w:pStyle w:val="4"/>
        <w:spacing w:after="120" w:afterLines="50"/>
        <w:jc w:val="both"/>
        <w:rPr>
          <w:rFonts w:hint="eastAsia" w:ascii="Times New Roman" w:hAnsi="Times New Roman" w:eastAsia="宋体" w:cs="Times New Roman"/>
          <w:b/>
          <w:bCs/>
          <w:color w:val="auto"/>
          <w:sz w:val="32"/>
          <w:highlight w:val="none"/>
          <w:lang w:val="en-GB"/>
        </w:rPr>
      </w:pPr>
    </w:p>
    <w:p w14:paraId="538F3BF2">
      <w:pPr>
        <w:keepNext w:val="0"/>
        <w:keepLines w:val="0"/>
        <w:pageBreakBefore w:val="0"/>
        <w:widowControl w:val="0"/>
        <w:kinsoku/>
        <w:wordWrap/>
        <w:overflowPunct/>
        <w:topLinePunct w:val="0"/>
        <w:autoSpaceDE/>
        <w:autoSpaceDN/>
        <w:bidi w:val="0"/>
        <w:adjustRightInd/>
        <w:snapToGrid/>
        <w:spacing w:after="0" w:afterLines="100" w:line="360" w:lineRule="auto"/>
        <w:jc w:val="center"/>
        <w:textAlignment w:val="auto"/>
        <w:rPr>
          <w:rFonts w:hint="default" w:ascii="仿宋_GB2312" w:hAnsi="仿宋_GB2312" w:eastAsia="宋体" w:cs="仿宋_GB2312"/>
          <w:color w:val="auto"/>
          <w:sz w:val="32"/>
          <w:szCs w:val="32"/>
          <w:highlight w:val="none"/>
          <w:lang w:val="en-US" w:eastAsia="zh-CN"/>
        </w:rPr>
      </w:pPr>
      <w:r>
        <w:rPr>
          <w:rFonts w:hint="eastAsia" w:ascii="宋体" w:hAnsi="宋体" w:eastAsia="宋体" w:cs="宋体"/>
          <w:b/>
          <w:bCs/>
          <w:color w:val="auto"/>
          <w:kern w:val="2"/>
          <w:sz w:val="30"/>
          <w:szCs w:val="30"/>
          <w:highlight w:val="none"/>
          <w:lang w:val="en-US" w:eastAsia="zh-CN" w:bidi="ar-SA"/>
        </w:rPr>
        <w:br w:type="page"/>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1资格声明函</w:t>
      </w:r>
    </w:p>
    <w:p w14:paraId="5CA7B29C">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GB" w:eastAsia="zh-CN"/>
        </w:rPr>
        <w:t>致：</w:t>
      </w:r>
      <w:r>
        <w:rPr>
          <w:rFonts w:hint="eastAsia" w:ascii="宋体" w:hAnsi="宋体" w:eastAsia="宋体" w:cs="宋体"/>
          <w:color w:val="auto"/>
          <w:szCs w:val="24"/>
          <w:highlight w:val="none"/>
          <w:u w:val="single"/>
          <w:lang w:val="en-GB" w:eastAsia="zh-CN"/>
        </w:rPr>
        <w:t>佛山市禅城区祖庙街道城建和水务办公室、</w:t>
      </w:r>
      <w:r>
        <w:rPr>
          <w:rFonts w:hint="eastAsia" w:ascii="宋体" w:hAnsi="宋体" w:cs="宋体"/>
          <w:color w:val="auto"/>
          <w:szCs w:val="24"/>
          <w:highlight w:val="none"/>
          <w:u w:val="single"/>
          <w:lang w:val="en-US" w:eastAsia="zh-CN"/>
        </w:rPr>
        <w:t>华睿诚</w:t>
      </w:r>
      <w:r>
        <w:rPr>
          <w:rFonts w:hint="eastAsia" w:ascii="宋体" w:hAnsi="宋体" w:cs="宋体"/>
          <w:color w:val="auto"/>
          <w:szCs w:val="24"/>
          <w:highlight w:val="none"/>
          <w:u w:val="single"/>
          <w:lang w:val="en-GB" w:eastAsia="zh-CN"/>
        </w:rPr>
        <w:t>项目管理有限公司</w:t>
      </w:r>
    </w:p>
    <w:p w14:paraId="47488913">
      <w:pPr>
        <w:spacing w:after="120" w:afterLines="50" w:line="360" w:lineRule="auto"/>
        <w:ind w:firstLine="480" w:firstLineChars="200"/>
        <w:jc w:val="left"/>
        <w:outlineLvl w:val="9"/>
        <w:rPr>
          <w:rFonts w:ascii="宋体" w:hAnsi="宋体" w:cs="宋体"/>
          <w:color w:val="auto"/>
          <w:szCs w:val="24"/>
          <w:highlight w:val="none"/>
          <w:lang w:val="en-GB"/>
        </w:rPr>
      </w:pPr>
      <w:r>
        <w:rPr>
          <w:rFonts w:hint="eastAsia" w:ascii="宋体" w:hAnsi="宋体" w:cs="宋体"/>
          <w:color w:val="auto"/>
          <w:szCs w:val="24"/>
          <w:highlight w:val="none"/>
          <w:lang w:val="en-GB"/>
        </w:rPr>
        <w:t>关于贵方</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lang w:val="en-GB"/>
        </w:rPr>
        <w:t>项目名称</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lang w:val="en-GB"/>
        </w:rPr>
        <w:t>（项目编号：</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lang w:val="en-GB"/>
        </w:rPr>
        <w:t>）投标邀请，本签字人愿意参加投标，如有欺诈、隐瞒事实违法行为，愿接受相关</w:t>
      </w:r>
    </w:p>
    <w:p w14:paraId="7E592C97">
      <w:pPr>
        <w:spacing w:after="120" w:afterLines="50" w:line="360" w:lineRule="auto"/>
        <w:jc w:val="left"/>
        <w:outlineLvl w:val="9"/>
        <w:rPr>
          <w:rFonts w:ascii="宋体" w:hAnsi="宋体" w:cs="宋体"/>
          <w:color w:val="auto"/>
          <w:szCs w:val="24"/>
          <w:highlight w:val="none"/>
          <w:lang w:val="en-GB"/>
        </w:rPr>
      </w:pPr>
      <w:r>
        <w:rPr>
          <w:rFonts w:hint="eastAsia" w:ascii="宋体" w:hAnsi="宋体" w:cs="宋体"/>
          <w:color w:val="auto"/>
          <w:szCs w:val="24"/>
          <w:highlight w:val="none"/>
          <w:lang w:val="en-GB"/>
        </w:rPr>
        <w:t>部门的依法处理。</w:t>
      </w:r>
    </w:p>
    <w:p w14:paraId="64D3CE8A">
      <w:pPr>
        <w:spacing w:after="120" w:afterLines="50" w:line="360" w:lineRule="auto"/>
        <w:jc w:val="left"/>
        <w:outlineLvl w:val="9"/>
        <w:rPr>
          <w:rFonts w:ascii="宋体" w:hAnsi="宋体" w:cs="宋体"/>
          <w:color w:val="auto"/>
          <w:szCs w:val="24"/>
          <w:highlight w:val="none"/>
          <w:lang w:val="en-GB"/>
        </w:rPr>
      </w:pPr>
      <w:r>
        <w:rPr>
          <w:rFonts w:hint="eastAsia" w:ascii="宋体" w:hAnsi="宋体" w:cs="宋体"/>
          <w:color w:val="auto"/>
          <w:szCs w:val="24"/>
          <w:highlight w:val="none"/>
          <w:lang w:val="en-GB"/>
        </w:rPr>
        <w:t>一、我方对相关要求作以下承诺：</w:t>
      </w:r>
    </w:p>
    <w:p w14:paraId="7044FB0C">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1.我方(填“具有”/“不具有”)独立承担民事责任的能力；</w:t>
      </w:r>
    </w:p>
    <w:p w14:paraId="41E6C568">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2.我方(填“具有”/“不具有”)良好的商业信誉和健全的财务会计制度；</w:t>
      </w:r>
    </w:p>
    <w:p w14:paraId="56928EF0">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3.我方(填“具有”/“不具有”)履行合同所必需的设备和专业技术能力；</w:t>
      </w:r>
    </w:p>
    <w:p w14:paraId="414EB0FE">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4.我方(填“有”/“无”)依法缴纳税收和社会保障资金的良好记录；</w:t>
      </w:r>
    </w:p>
    <w:p w14:paraId="5B6C2DB0">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5.我方</w:t>
      </w:r>
      <w:r>
        <w:rPr>
          <w:rFonts w:hint="eastAsia" w:ascii="宋体" w:hAnsi="宋体" w:cs="宋体"/>
          <w:color w:val="auto"/>
          <w:szCs w:val="24"/>
          <w:highlight w:val="none"/>
          <w:lang w:val="en-GB" w:eastAsia="zh-CN"/>
        </w:rPr>
        <w:t>参加采购活动前三年内</w:t>
      </w:r>
      <w:r>
        <w:rPr>
          <w:rFonts w:hint="eastAsia" w:ascii="宋体" w:hAnsi="宋体" w:cs="宋体"/>
          <w:color w:val="auto"/>
          <w:szCs w:val="24"/>
          <w:highlight w:val="none"/>
          <w:lang w:val="en-GB"/>
        </w:rPr>
        <w:t>，在经营活动中(填“有”或“无”)重大违法记录；</w:t>
      </w:r>
    </w:p>
    <w:p w14:paraId="1A34BB59">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GB"/>
        </w:rPr>
        <w:t>6.我方(填“符合”/“不符合”)法律、行政法规规定的其他条件。</w:t>
      </w:r>
    </w:p>
    <w:p w14:paraId="40A6C6D8">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hint="eastAsia" w:ascii="宋体" w:hAnsi="宋体" w:cs="宋体"/>
          <w:color w:val="auto"/>
          <w:szCs w:val="24"/>
          <w:highlight w:val="none"/>
          <w:lang w:val="en-GB" w:eastAsia="zh-CN"/>
        </w:rPr>
      </w:pPr>
      <w:r>
        <w:rPr>
          <w:rFonts w:hint="eastAsia" w:ascii="宋体" w:hAnsi="宋体" w:cs="宋体"/>
          <w:color w:val="auto"/>
          <w:szCs w:val="24"/>
          <w:highlight w:val="none"/>
          <w:lang w:val="en-GB"/>
        </w:rPr>
        <w:t>7.我方(填“没有”/“有”) 被列入“信用中国”网站(www.creditchina.gov.cn)“记录失信被执行人或重大税收违法失信主体（即原“重大税收违法案件当事人名单”）”记录名单</w:t>
      </w:r>
      <w:r>
        <w:rPr>
          <w:rFonts w:hint="eastAsia" w:ascii="宋体" w:hAnsi="宋体" w:cs="宋体"/>
          <w:color w:val="auto"/>
          <w:szCs w:val="24"/>
          <w:highlight w:val="none"/>
          <w:lang w:val="en-GB" w:eastAsia="zh-CN"/>
        </w:rPr>
        <w:t>；</w:t>
      </w:r>
    </w:p>
    <w:p w14:paraId="703B16C2">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hint="eastAsia" w:ascii="宋体" w:hAnsi="宋体" w:cs="宋体"/>
          <w:color w:val="auto"/>
          <w:szCs w:val="24"/>
          <w:highlight w:val="none"/>
          <w:lang w:val="en-GB"/>
        </w:rPr>
      </w:pP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val="en-GB" w:eastAsia="zh-CN"/>
        </w:rPr>
        <w:t>（</w:t>
      </w:r>
      <w:r>
        <w:rPr>
          <w:rFonts w:hint="eastAsia" w:ascii="宋体" w:hAnsi="宋体" w:cs="宋体"/>
          <w:color w:val="auto"/>
          <w:szCs w:val="24"/>
          <w:highlight w:val="none"/>
          <w:lang w:val="en-GB"/>
        </w:rPr>
        <w:t>填“没有”/“有”</w:t>
      </w:r>
      <w:r>
        <w:rPr>
          <w:rFonts w:hint="eastAsia" w:ascii="宋体" w:hAnsi="宋体" w:cs="宋体"/>
          <w:color w:val="auto"/>
          <w:szCs w:val="24"/>
          <w:highlight w:val="none"/>
          <w:lang w:val="en-GB" w:eastAsia="zh-CN"/>
        </w:rPr>
        <w:t>）</w:t>
      </w:r>
      <w:r>
        <w:rPr>
          <w:rFonts w:hint="eastAsia" w:ascii="宋体" w:hAnsi="宋体" w:cs="宋体"/>
          <w:color w:val="auto"/>
          <w:szCs w:val="24"/>
          <w:highlight w:val="none"/>
          <w:lang w:val="en-GB"/>
        </w:rPr>
        <w:t>处于中国政府采购网(www.ccgp.gov.cn)“政府采购严重违法失信行为信息记录”中的禁止参加</w:t>
      </w:r>
      <w:r>
        <w:rPr>
          <w:rFonts w:hint="eastAsia" w:ascii="宋体" w:hAnsi="宋体" w:cs="宋体"/>
          <w:color w:val="auto"/>
          <w:szCs w:val="24"/>
          <w:highlight w:val="none"/>
          <w:lang w:val="en-GB" w:eastAsia="zh-CN"/>
        </w:rPr>
        <w:t>采购活动</w:t>
      </w:r>
      <w:r>
        <w:rPr>
          <w:rFonts w:hint="eastAsia" w:ascii="宋体" w:hAnsi="宋体" w:cs="宋体"/>
          <w:color w:val="auto"/>
          <w:szCs w:val="24"/>
          <w:highlight w:val="none"/>
          <w:lang w:val="en-GB"/>
        </w:rPr>
        <w:t>期间。</w:t>
      </w:r>
    </w:p>
    <w:p w14:paraId="0DB50828">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ascii="宋体" w:hAnsi="宋体" w:cs="宋体"/>
          <w:color w:val="auto"/>
          <w:szCs w:val="24"/>
          <w:highlight w:val="none"/>
          <w:lang w:val="en-GB"/>
        </w:rPr>
      </w:pP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val="en-GB"/>
        </w:rPr>
        <w:t>.</w:t>
      </w:r>
      <w:r>
        <w:rPr>
          <w:rFonts w:hint="eastAsia" w:ascii="宋体" w:hAnsi="宋体" w:cs="宋体"/>
          <w:color w:val="auto"/>
          <w:szCs w:val="24"/>
          <w:highlight w:val="none"/>
          <w:lang w:val="en-US" w:eastAsia="zh-CN"/>
        </w:rPr>
        <w:t>参照</w:t>
      </w:r>
      <w:r>
        <w:rPr>
          <w:rFonts w:hint="eastAsia" w:ascii="宋体" w:hAnsi="宋体" w:cs="宋体"/>
          <w:color w:val="auto"/>
          <w:szCs w:val="24"/>
          <w:highlight w:val="none"/>
          <w:lang w:val="en-GB"/>
        </w:rPr>
        <w:t>《中华人民共和国政府采购法实施条例》的规定，本公司（企业）如为采购项目提供整体设计、规范编制或者项目管理、监理、检测等服务的供应商，不再参加该采购项目的其他采购活动。</w:t>
      </w:r>
    </w:p>
    <w:p w14:paraId="23ED339E">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jc w:val="left"/>
        <w:textAlignment w:val="auto"/>
        <w:outlineLvl w:val="9"/>
        <w:rPr>
          <w:rFonts w:hint="eastAsia" w:ascii="宋体" w:hAnsi="宋体" w:cs="宋体"/>
          <w:color w:val="auto"/>
          <w:szCs w:val="24"/>
          <w:highlight w:val="none"/>
          <w:lang w:val="en-GB"/>
        </w:rPr>
      </w:pP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.我方承诺单位负责人为同一人或者存在直接控股、管理关系的不同供应商，不得同时参加本采购项目投标。</w:t>
      </w:r>
    </w:p>
    <w:p w14:paraId="147A7723">
      <w:pPr>
        <w:widowControl w:val="0"/>
        <w:adjustRightInd w:val="0"/>
        <w:ind w:firstLine="437"/>
        <w:jc w:val="left"/>
        <w:rPr>
          <w:rFonts w:hint="eastAsia" w:ascii="宋体" w:hAnsi="宋体" w:eastAsia="宋体" w:cs="Times New Roman"/>
          <w:color w:val="auto"/>
          <w:kern w:val="0"/>
          <w:sz w:val="24"/>
          <w:szCs w:val="21"/>
          <w:highlight w:val="none"/>
          <w:lang w:val="en-GB" w:eastAsia="zh-CN" w:bidi="ar-SA"/>
        </w:rPr>
      </w:pPr>
    </w:p>
    <w:p w14:paraId="4E050478">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14:paraId="483CD744">
      <w:pPr>
        <w:tabs>
          <w:tab w:val="left" w:pos="-3780"/>
        </w:tabs>
        <w:spacing w:line="36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14:paraId="664FFC66">
      <w:pPr>
        <w:tabs>
          <w:tab w:val="left" w:pos="-378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承诺日期：</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日</w:t>
      </w:r>
    </w:p>
    <w:p w14:paraId="61C6E173">
      <w:pPr>
        <w:keepNext/>
        <w:keepLines/>
        <w:widowControl w:val="0"/>
        <w:spacing w:before="0" w:after="0" w:line="240" w:lineRule="auto"/>
        <w:jc w:val="center"/>
        <w:outlineLvl w:val="3"/>
        <w:rPr>
          <w:rFonts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br w:type="page"/>
      </w:r>
      <w:r>
        <w:rPr>
          <w:rFonts w:hint="eastAsia" w:ascii="宋体" w:hAnsi="宋体" w:eastAsia="宋体" w:cs="宋体"/>
          <w:b/>
          <w:bCs/>
          <w:kern w:val="2"/>
          <w:sz w:val="24"/>
          <w:szCs w:val="24"/>
          <w:highlight w:val="none"/>
          <w:lang w:val="en-US" w:eastAsia="zh-CN" w:bidi="ar-SA"/>
        </w:rPr>
        <w:t>2.2营业执照</w:t>
      </w:r>
    </w:p>
    <w:p w14:paraId="09E80FA5">
      <w:pPr>
        <w:rPr>
          <w:color w:val="auto"/>
          <w:sz w:val="21"/>
          <w:highlight w:val="none"/>
        </w:rPr>
      </w:pPr>
    </w:p>
    <w:tbl>
      <w:tblPr>
        <w:tblStyle w:val="15"/>
        <w:tblW w:w="0" w:type="auto"/>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806"/>
      </w:tblGrid>
      <w:tr w14:paraId="11BA56AC">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1981" w:hRule="atLeast"/>
          <w:jc w:val="center"/>
        </w:trPr>
        <w:tc>
          <w:tcPr>
            <w:tcW w:w="9806" w:type="dxa"/>
            <w:noWrap w:val="0"/>
            <w:vAlign w:val="top"/>
          </w:tcPr>
          <w:p w14:paraId="24E348EC">
            <w:pPr>
              <w:rPr>
                <w:color w:val="auto"/>
                <w:sz w:val="28"/>
                <w:szCs w:val="30"/>
                <w:highlight w:val="none"/>
                <w:lang w:val="en-GB"/>
              </w:rPr>
            </w:pPr>
            <w:r>
              <w:rPr>
                <w:color w:val="auto"/>
                <w:sz w:val="28"/>
                <w:szCs w:val="30"/>
                <w:highlight w:val="none"/>
                <w:lang w:val="en-GB"/>
              </w:rPr>
              <w:t>注：</w:t>
            </w:r>
          </w:p>
          <w:p w14:paraId="343C1BBB">
            <w:pPr>
              <w:rPr>
                <w:color w:val="auto"/>
                <w:sz w:val="28"/>
                <w:szCs w:val="30"/>
                <w:highlight w:val="none"/>
                <w:lang w:val="en-GB"/>
              </w:rPr>
            </w:pPr>
            <w:r>
              <w:rPr>
                <w:rFonts w:hint="eastAsia" w:ascii="Calibri"/>
                <w:b/>
                <w:color w:val="auto"/>
                <w:sz w:val="28"/>
                <w:szCs w:val="30"/>
                <w:highlight w:val="none"/>
                <w:lang w:val="en-GB"/>
              </w:rPr>
              <w:t>1.</w:t>
            </w:r>
            <w:r>
              <w:rPr>
                <w:color w:val="auto"/>
                <w:sz w:val="28"/>
                <w:szCs w:val="30"/>
                <w:highlight w:val="none"/>
                <w:lang w:val="en-GB"/>
              </w:rPr>
              <w:t>此项附</w:t>
            </w:r>
            <w:r>
              <w:rPr>
                <w:rFonts w:hint="eastAsia" w:ascii="Calibri"/>
                <w:color w:val="auto"/>
                <w:sz w:val="28"/>
                <w:szCs w:val="30"/>
                <w:highlight w:val="none"/>
                <w:u w:val="single"/>
                <w:lang w:val="en-GB"/>
              </w:rPr>
              <w:t>《营业执照》或《事业单位法人证书》（副本）</w:t>
            </w:r>
            <w:r>
              <w:rPr>
                <w:rFonts w:hint="eastAsia" w:ascii="Calibri"/>
                <w:color w:val="auto"/>
                <w:sz w:val="28"/>
                <w:szCs w:val="30"/>
                <w:highlight w:val="none"/>
                <w:lang w:val="en-GB"/>
              </w:rPr>
              <w:t>；</w:t>
            </w:r>
          </w:p>
          <w:p w14:paraId="38BA2A1A">
            <w:pPr>
              <w:rPr>
                <w:rFonts w:hint="eastAsia"/>
                <w:color w:val="auto"/>
                <w:sz w:val="28"/>
                <w:szCs w:val="30"/>
                <w:highlight w:val="none"/>
                <w:lang w:val="en-GB"/>
              </w:rPr>
            </w:pPr>
            <w:r>
              <w:rPr>
                <w:rFonts w:hint="eastAsia" w:ascii="Calibri"/>
                <w:b/>
                <w:color w:val="auto"/>
                <w:sz w:val="28"/>
                <w:szCs w:val="30"/>
                <w:highlight w:val="none"/>
                <w:lang w:val="en-GB"/>
              </w:rPr>
              <w:t>2.</w:t>
            </w:r>
            <w:r>
              <w:rPr>
                <w:color w:val="auto"/>
                <w:sz w:val="28"/>
                <w:szCs w:val="30"/>
                <w:highlight w:val="none"/>
                <w:lang w:val="en-GB"/>
              </w:rPr>
              <w:t>证明材料为</w:t>
            </w:r>
            <w:r>
              <w:rPr>
                <w:rFonts w:hint="eastAsia" w:ascii="Calibri"/>
                <w:color w:val="auto"/>
                <w:sz w:val="28"/>
                <w:szCs w:val="30"/>
                <w:highlight w:val="none"/>
                <w:lang w:val="en-GB"/>
              </w:rPr>
              <w:t>复印件或扫描件</w:t>
            </w:r>
            <w:r>
              <w:rPr>
                <w:color w:val="auto"/>
                <w:sz w:val="28"/>
                <w:szCs w:val="30"/>
                <w:highlight w:val="none"/>
                <w:lang w:val="en-GB"/>
              </w:rPr>
              <w:t>（加盖公章）；</w:t>
            </w:r>
          </w:p>
          <w:p w14:paraId="224FA961">
            <w:pPr>
              <w:rPr>
                <w:rFonts w:hint="eastAsia"/>
                <w:color w:val="auto"/>
                <w:sz w:val="28"/>
                <w:szCs w:val="30"/>
                <w:highlight w:val="none"/>
                <w:lang w:val="en-GB"/>
              </w:rPr>
            </w:pPr>
            <w:r>
              <w:rPr>
                <w:rFonts w:hint="eastAsia" w:ascii="Calibri"/>
                <w:b/>
                <w:color w:val="auto"/>
                <w:sz w:val="28"/>
                <w:szCs w:val="30"/>
                <w:highlight w:val="none"/>
                <w:lang w:val="en-GB"/>
              </w:rPr>
              <w:t>3.</w:t>
            </w:r>
            <w:r>
              <w:rPr>
                <w:rFonts w:hint="eastAsia" w:ascii="Calibri"/>
                <w:color w:val="auto"/>
                <w:sz w:val="28"/>
                <w:szCs w:val="30"/>
                <w:highlight w:val="none"/>
                <w:lang w:val="en-GB"/>
              </w:rPr>
              <w:t>如企业名称已变更，应再附上工商部门出具的核准变更通知书。</w:t>
            </w:r>
          </w:p>
          <w:p w14:paraId="7D29A563">
            <w:pPr>
              <w:rPr>
                <w:color w:val="auto"/>
                <w:sz w:val="28"/>
                <w:szCs w:val="30"/>
                <w:highlight w:val="none"/>
                <w:lang w:val="en-GB"/>
              </w:rPr>
            </w:pPr>
            <w:r>
              <w:rPr>
                <w:rFonts w:hint="eastAsia" w:ascii="Calibri"/>
                <w:b/>
                <w:color w:val="auto"/>
                <w:sz w:val="28"/>
                <w:szCs w:val="30"/>
                <w:highlight w:val="none"/>
                <w:lang w:val="en-GB"/>
              </w:rPr>
              <w:t>4.</w:t>
            </w:r>
            <w:r>
              <w:rPr>
                <w:rFonts w:hint="eastAsia" w:ascii="Calibri"/>
                <w:color w:val="auto"/>
                <w:sz w:val="28"/>
                <w:szCs w:val="30"/>
                <w:highlight w:val="none"/>
                <w:lang w:val="en-GB"/>
              </w:rPr>
              <w:t>若不能附全可增加页；</w:t>
            </w:r>
          </w:p>
          <w:p w14:paraId="7C203EEF">
            <w:pPr>
              <w:rPr>
                <w:rFonts w:hint="eastAsia"/>
                <w:color w:val="auto"/>
                <w:sz w:val="28"/>
                <w:szCs w:val="30"/>
                <w:highlight w:val="none"/>
                <w:lang w:val="en-GB"/>
              </w:rPr>
            </w:pPr>
            <w:r>
              <w:rPr>
                <w:rFonts w:hint="eastAsia" w:ascii="Calibri"/>
                <w:b/>
                <w:color w:val="auto"/>
                <w:sz w:val="28"/>
                <w:szCs w:val="30"/>
                <w:highlight w:val="none"/>
                <w:lang w:val="en-GB"/>
              </w:rPr>
              <w:t>5.</w:t>
            </w:r>
            <w:r>
              <w:rPr>
                <w:color w:val="auto"/>
                <w:sz w:val="28"/>
                <w:szCs w:val="30"/>
                <w:highlight w:val="none"/>
                <w:lang w:val="en-GB"/>
              </w:rPr>
              <w:t>供应商附上复印件</w:t>
            </w:r>
            <w:r>
              <w:rPr>
                <w:color w:val="auto"/>
                <w:sz w:val="28"/>
                <w:highlight w:val="none"/>
                <w:lang w:val="en-GB"/>
              </w:rPr>
              <w:t>或扫描件</w:t>
            </w:r>
            <w:r>
              <w:rPr>
                <w:color w:val="auto"/>
                <w:sz w:val="28"/>
                <w:szCs w:val="30"/>
                <w:highlight w:val="none"/>
                <w:lang w:val="en-GB"/>
              </w:rPr>
              <w:t>时可覆盖虚线框。</w:t>
            </w:r>
          </w:p>
        </w:tc>
      </w:tr>
    </w:tbl>
    <w:p w14:paraId="2896DB8E">
      <w:pPr>
        <w:spacing w:line="360" w:lineRule="auto"/>
        <w:rPr>
          <w:color w:val="auto"/>
          <w:highlight w:val="none"/>
          <w:lang w:val="en-GB"/>
        </w:rPr>
      </w:pPr>
    </w:p>
    <w:p w14:paraId="071D1A62">
      <w:pPr>
        <w:rPr>
          <w:color w:val="auto"/>
          <w:highlight w:val="none"/>
          <w:lang w:val="en-GB"/>
        </w:rPr>
      </w:pPr>
    </w:p>
    <w:p w14:paraId="3EF0DC88">
      <w:pPr>
        <w:keepNext/>
        <w:keepLines/>
        <w:widowControl w:val="0"/>
        <w:spacing w:before="0" w:after="0" w:line="360" w:lineRule="auto"/>
        <w:jc w:val="center"/>
        <w:outlineLvl w:val="3"/>
        <w:rPr>
          <w:rFonts w:ascii="宋体" w:hAnsi="宋体" w:eastAsia="宋体" w:cs="宋体"/>
          <w:b/>
          <w:bCs/>
          <w:kern w:val="2"/>
          <w:sz w:val="24"/>
          <w:szCs w:val="24"/>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br w:type="page"/>
      </w:r>
      <w:r>
        <w:rPr>
          <w:rFonts w:hint="eastAsia" w:ascii="宋体" w:hAnsi="宋体" w:eastAsia="宋体" w:cs="宋体"/>
          <w:b/>
          <w:bCs/>
          <w:kern w:val="2"/>
          <w:sz w:val="24"/>
          <w:szCs w:val="24"/>
          <w:highlight w:val="none"/>
          <w:lang w:val="en-US" w:eastAsia="zh-CN" w:bidi="ar-SA"/>
        </w:rPr>
        <w:t>2.3供应商认为须要提供的材料（可选）</w:t>
      </w:r>
    </w:p>
    <w:p w14:paraId="30687E82">
      <w:pPr>
        <w:spacing w:line="360" w:lineRule="auto"/>
        <w:rPr>
          <w:rFonts w:ascii="宋体" w:hAnsi="宋体" w:cs="宋体"/>
          <w:szCs w:val="24"/>
          <w:highlight w:val="none"/>
        </w:rPr>
      </w:pPr>
    </w:p>
    <w:tbl>
      <w:tblPr>
        <w:tblStyle w:val="15"/>
        <w:tblW w:w="9806"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806"/>
      </w:tblGrid>
      <w:tr w14:paraId="3530CE85">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1981" w:hRule="atLeast"/>
          <w:jc w:val="center"/>
        </w:trPr>
        <w:tc>
          <w:tcPr>
            <w:tcW w:w="9806" w:type="dxa"/>
            <w:noWrap w:val="0"/>
            <w:vAlign w:val="top"/>
          </w:tcPr>
          <w:p w14:paraId="1C126B0C">
            <w:pPr>
              <w:spacing w:line="360" w:lineRule="auto"/>
              <w:rPr>
                <w:rFonts w:ascii="宋体" w:hAnsi="宋体" w:cs="宋体"/>
                <w:szCs w:val="24"/>
                <w:highlight w:val="none"/>
                <w:lang w:val="en-GB"/>
              </w:rPr>
            </w:pPr>
            <w:r>
              <w:rPr>
                <w:rFonts w:hint="eastAsia" w:ascii="宋体" w:hAnsi="宋体" w:cs="宋体"/>
                <w:szCs w:val="24"/>
                <w:highlight w:val="none"/>
                <w:lang w:val="en-GB"/>
              </w:rPr>
              <w:t>注：</w:t>
            </w:r>
          </w:p>
          <w:p w14:paraId="3BED25BB">
            <w:pPr>
              <w:spacing w:line="360" w:lineRule="auto"/>
              <w:rPr>
                <w:rFonts w:ascii="宋体" w:hAnsi="宋体" w:cs="宋体"/>
                <w:szCs w:val="24"/>
                <w:highlight w:val="none"/>
                <w:lang w:val="en-GB"/>
              </w:rPr>
            </w:pPr>
            <w:r>
              <w:rPr>
                <w:rFonts w:hint="eastAsia" w:ascii="宋体" w:hAnsi="宋体" w:cs="宋体"/>
                <w:b/>
                <w:szCs w:val="24"/>
                <w:highlight w:val="none"/>
                <w:lang w:val="en-GB"/>
              </w:rPr>
              <w:t>1.</w:t>
            </w:r>
            <w:r>
              <w:rPr>
                <w:rFonts w:hint="eastAsia" w:ascii="宋体" w:hAnsi="宋体" w:cs="宋体"/>
                <w:szCs w:val="24"/>
                <w:highlight w:val="none"/>
                <w:lang w:val="en-GB"/>
              </w:rPr>
              <w:t>此项附</w:t>
            </w:r>
            <w:r>
              <w:rPr>
                <w:rFonts w:hint="eastAsia" w:ascii="宋体" w:hAnsi="宋体" w:cs="宋体"/>
                <w:szCs w:val="24"/>
                <w:highlight w:val="none"/>
                <w:u w:val="single"/>
                <w:lang w:val="en-GB"/>
              </w:rPr>
              <w:t>供应商认为须要提供的材料</w:t>
            </w:r>
            <w:r>
              <w:rPr>
                <w:rFonts w:hint="eastAsia" w:ascii="宋体" w:hAnsi="宋体" w:cs="宋体"/>
                <w:szCs w:val="24"/>
                <w:highlight w:val="none"/>
                <w:lang w:val="en-GB"/>
              </w:rPr>
              <w:t>；</w:t>
            </w:r>
          </w:p>
          <w:p w14:paraId="31D87DB2">
            <w:pPr>
              <w:spacing w:line="360" w:lineRule="auto"/>
              <w:rPr>
                <w:rFonts w:ascii="宋体" w:hAnsi="宋体" w:cs="宋体"/>
                <w:szCs w:val="24"/>
                <w:highlight w:val="none"/>
                <w:lang w:val="en-GB"/>
              </w:rPr>
            </w:pPr>
            <w:r>
              <w:rPr>
                <w:rFonts w:hint="eastAsia" w:ascii="宋体" w:hAnsi="宋体" w:cs="宋体"/>
                <w:b/>
                <w:szCs w:val="24"/>
                <w:highlight w:val="none"/>
                <w:lang w:val="en-GB"/>
              </w:rPr>
              <w:t>2.</w:t>
            </w:r>
            <w:r>
              <w:rPr>
                <w:rFonts w:hint="eastAsia" w:ascii="宋体" w:hAnsi="宋体" w:cs="宋体"/>
                <w:szCs w:val="24"/>
                <w:highlight w:val="none"/>
                <w:lang w:val="en-GB"/>
              </w:rPr>
              <w:t>证明材料为复印件或扫描件（加盖公章）；</w:t>
            </w:r>
          </w:p>
          <w:p w14:paraId="5C1FFEA4">
            <w:pPr>
              <w:spacing w:line="360" w:lineRule="auto"/>
              <w:rPr>
                <w:rFonts w:ascii="宋体" w:hAnsi="宋体" w:cs="宋体"/>
                <w:szCs w:val="24"/>
                <w:highlight w:val="none"/>
                <w:lang w:val="en-GB"/>
              </w:rPr>
            </w:pPr>
            <w:r>
              <w:rPr>
                <w:rFonts w:hint="eastAsia" w:ascii="宋体" w:hAnsi="宋体" w:cs="宋体"/>
                <w:b/>
                <w:szCs w:val="24"/>
                <w:highlight w:val="none"/>
                <w:lang w:val="en-GB"/>
              </w:rPr>
              <w:t>3.</w:t>
            </w:r>
            <w:r>
              <w:rPr>
                <w:rFonts w:hint="eastAsia" w:ascii="宋体" w:hAnsi="宋体" w:cs="宋体"/>
                <w:szCs w:val="24"/>
                <w:highlight w:val="none"/>
                <w:lang w:val="en-GB"/>
              </w:rPr>
              <w:t>若不能附全可增加页；</w:t>
            </w:r>
          </w:p>
          <w:p w14:paraId="116EEF89">
            <w:pPr>
              <w:spacing w:line="360" w:lineRule="auto"/>
              <w:rPr>
                <w:rFonts w:ascii="宋体" w:hAnsi="宋体" w:cs="宋体"/>
                <w:szCs w:val="24"/>
                <w:highlight w:val="none"/>
                <w:lang w:val="en-GB"/>
              </w:rPr>
            </w:pPr>
            <w:r>
              <w:rPr>
                <w:rFonts w:hint="eastAsia" w:ascii="宋体" w:hAnsi="宋体" w:cs="宋体"/>
                <w:b/>
                <w:szCs w:val="24"/>
                <w:highlight w:val="none"/>
                <w:lang w:val="en-GB"/>
              </w:rPr>
              <w:t>4.</w:t>
            </w:r>
            <w:r>
              <w:rPr>
                <w:rFonts w:hint="eastAsia" w:ascii="宋体" w:hAnsi="宋体" w:cs="宋体"/>
                <w:szCs w:val="24"/>
                <w:highlight w:val="none"/>
                <w:lang w:val="en-GB"/>
              </w:rPr>
              <w:t>供应商附上复印件时可覆盖虚线框。</w:t>
            </w:r>
          </w:p>
        </w:tc>
      </w:tr>
    </w:tbl>
    <w:p w14:paraId="32198073">
      <w:pPr>
        <w:rPr>
          <w:rFonts w:ascii="宋体" w:hAnsi="宋体"/>
          <w:color w:val="auto"/>
          <w:highlight w:val="none"/>
        </w:rPr>
      </w:pPr>
      <w:r>
        <w:rPr>
          <w:rFonts w:hint="eastAsia" w:ascii="Times New Roman" w:hAnsi="Times New Roman"/>
          <w:color w:val="auto"/>
          <w:highlight w:val="none"/>
        </w:rPr>
        <w:br w:type="page"/>
      </w:r>
    </w:p>
    <w:p w14:paraId="3AE8DFCF">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04192F78">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1170D600">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7D85407C">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38601953">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35CACBE6">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54A57718">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14E2534D">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79C7D40F">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3AC46DDA">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23131110">
      <w:pPr>
        <w:widowControl w:val="0"/>
        <w:spacing w:line="360" w:lineRule="auto"/>
        <w:ind w:firstLine="480" w:firstLineChars="200"/>
        <w:jc w:val="both"/>
        <w:rPr>
          <w:rFonts w:ascii="宋体" w:hAnsi="宋体" w:eastAsia="宋体" w:cs="Times New Roman"/>
          <w:color w:val="auto"/>
          <w:kern w:val="2"/>
          <w:sz w:val="24"/>
          <w:szCs w:val="20"/>
          <w:highlight w:val="none"/>
          <w:lang w:val="en-US" w:eastAsia="zh-CN" w:bidi="ar-SA"/>
        </w:rPr>
      </w:pPr>
    </w:p>
    <w:p w14:paraId="12BDE6CA">
      <w:pPr>
        <w:keepNext/>
        <w:keepLines/>
        <w:widowControl w:val="0"/>
        <w:jc w:val="center"/>
        <w:outlineLvl w:val="1"/>
        <w:rPr>
          <w:rFonts w:hint="eastAsia" w:ascii="Cambria" w:hAnsi="Cambria" w:eastAsia="宋体" w:cs="Times New Roman"/>
          <w:b/>
          <w:bCs/>
          <w:color w:val="auto"/>
          <w:kern w:val="2"/>
          <w:sz w:val="52"/>
          <w:szCs w:val="32"/>
          <w:highlight w:val="none"/>
          <w:lang w:val="en-US" w:eastAsia="zh-CN" w:bidi="ar-SA"/>
        </w:rPr>
      </w:pPr>
      <w:bookmarkStart w:id="119" w:name="_Toc18945"/>
      <w:bookmarkStart w:id="120" w:name="_Toc19599"/>
      <w:bookmarkStart w:id="121" w:name="_Toc8125"/>
      <w:r>
        <w:rPr>
          <w:rFonts w:hint="eastAsia" w:ascii="Cambria" w:hAnsi="Cambria" w:eastAsia="宋体" w:cs="Times New Roman"/>
          <w:b/>
          <w:bCs/>
          <w:color w:val="auto"/>
          <w:kern w:val="2"/>
          <w:sz w:val="52"/>
          <w:szCs w:val="32"/>
          <w:highlight w:val="none"/>
          <w:lang w:val="en-US" w:eastAsia="zh-CN" w:bidi="ar-SA"/>
        </w:rPr>
        <w:t>第三章</w:t>
      </w:r>
      <w:r>
        <w:rPr>
          <w:rFonts w:hint="eastAsia" w:ascii="Cambria" w:hAnsi="Cambria" w:eastAsia="宋体" w:cs="Times New Roman"/>
          <w:b/>
          <w:bCs/>
          <w:color w:val="auto"/>
          <w:kern w:val="2"/>
          <w:sz w:val="52"/>
          <w:szCs w:val="32"/>
          <w:highlight w:val="none"/>
          <w:lang w:val="en-US" w:eastAsia="zh-CN" w:bidi="ar-SA"/>
        </w:rPr>
        <w:tab/>
      </w:r>
      <w:r>
        <w:rPr>
          <w:rFonts w:hint="eastAsia" w:ascii="Cambria" w:hAnsi="Cambria" w:eastAsia="宋体" w:cs="Times New Roman"/>
          <w:b/>
          <w:bCs/>
          <w:color w:val="auto"/>
          <w:kern w:val="2"/>
          <w:sz w:val="52"/>
          <w:szCs w:val="32"/>
          <w:highlight w:val="none"/>
          <w:lang w:val="en-US" w:eastAsia="zh-CN" w:bidi="ar-SA"/>
        </w:rPr>
        <w:t>符合性文件</w:t>
      </w:r>
      <w:bookmarkEnd w:id="119"/>
      <w:bookmarkEnd w:id="120"/>
      <w:bookmarkEnd w:id="121"/>
    </w:p>
    <w:p w14:paraId="5841335F">
      <w:pPr>
        <w:widowControl w:val="0"/>
        <w:spacing w:before="11" w:after="120"/>
        <w:jc w:val="both"/>
        <w:rPr>
          <w:rFonts w:ascii="Times New Roman" w:hAnsi="Times New Roman" w:eastAsia="宋体" w:cs="Times New Roman"/>
          <w:b/>
          <w:color w:val="auto"/>
          <w:kern w:val="2"/>
          <w:sz w:val="42"/>
          <w:szCs w:val="22"/>
          <w:highlight w:val="none"/>
          <w:lang w:val="en-US" w:eastAsia="zh-CN" w:bidi="ar-SA"/>
        </w:rPr>
      </w:pPr>
    </w:p>
    <w:p w14:paraId="3B626294">
      <w:pPr>
        <w:spacing w:line="357" w:lineRule="auto"/>
        <w:ind w:left="1552" w:right="1551"/>
        <w:jc w:val="center"/>
        <w:rPr>
          <w:rFonts w:hint="eastAsia"/>
          <w:color w:val="auto"/>
          <w:highlight w:val="none"/>
        </w:rPr>
        <w:sectPr>
          <w:footerReference r:id="rId9" w:type="default"/>
          <w:pgSz w:w="11910" w:h="16840"/>
          <w:pgMar w:top="1000" w:right="1160" w:bottom="1040" w:left="1160" w:header="794" w:footer="841" w:gutter="0"/>
          <w:cols w:space="720" w:num="1"/>
        </w:sectPr>
      </w:pPr>
      <w:r>
        <w:rPr>
          <w:rFonts w:ascii="Times New Roman" w:hAnsi="Times New Roman" w:eastAsia="宋体" w:cs="Times New Roman"/>
          <w:color w:val="auto"/>
          <w:kern w:val="2"/>
          <w:sz w:val="21"/>
          <w:szCs w:val="22"/>
          <w:highlight w:val="none"/>
          <w:lang w:val="en-US" w:eastAsia="zh-CN" w:bidi="ar-SA"/>
        </w:rPr>
        <w:t>（注：本</w:t>
      </w:r>
      <w:r>
        <w:rPr>
          <w:rFonts w:hint="eastAsia" w:ascii="Times New Roman" w:hAnsi="Times New Roman" w:eastAsia="宋体" w:cs="Times New Roman"/>
          <w:color w:val="auto"/>
          <w:kern w:val="2"/>
          <w:sz w:val="21"/>
          <w:szCs w:val="22"/>
          <w:highlight w:val="none"/>
          <w:lang w:val="en-US" w:eastAsia="zh-CN" w:bidi="ar-SA"/>
        </w:rPr>
        <w:t>节</w:t>
      </w:r>
      <w:r>
        <w:rPr>
          <w:rFonts w:ascii="Times New Roman" w:hAnsi="Times New Roman" w:eastAsia="宋体" w:cs="Times New Roman"/>
          <w:color w:val="auto"/>
          <w:kern w:val="2"/>
          <w:sz w:val="21"/>
          <w:szCs w:val="22"/>
          <w:highlight w:val="none"/>
          <w:lang w:val="en-US" w:eastAsia="zh-CN" w:bidi="ar-SA"/>
        </w:rPr>
        <w:t>内容为须提供内容，否则评审时将导致无效</w:t>
      </w:r>
      <w:r>
        <w:rPr>
          <w:rFonts w:hint="eastAsia" w:ascii="Times New Roman" w:hAnsi="Times New Roman" w:eastAsia="宋体" w:cs="Times New Roman"/>
          <w:color w:val="auto"/>
          <w:kern w:val="2"/>
          <w:sz w:val="21"/>
          <w:szCs w:val="22"/>
          <w:highlight w:val="none"/>
          <w:lang w:val="en-US" w:eastAsia="zh-CN" w:bidi="ar-SA"/>
        </w:rPr>
        <w:t>磋商</w:t>
      </w:r>
      <w:r>
        <w:rPr>
          <w:rFonts w:ascii="Times New Roman" w:hAnsi="Times New Roman" w:eastAsia="宋体" w:cs="Times New Roman"/>
          <w:color w:val="auto"/>
          <w:kern w:val="2"/>
          <w:sz w:val="21"/>
          <w:szCs w:val="22"/>
          <w:highlight w:val="none"/>
          <w:lang w:val="en-US" w:eastAsia="zh-CN" w:bidi="ar-SA"/>
        </w:rPr>
        <w:t>，对此造成的后果由</w:t>
      </w:r>
      <w:r>
        <w:rPr>
          <w:rFonts w:hint="eastAsia" w:ascii="Times New Roman" w:hAnsi="Times New Roman" w:eastAsia="宋体" w:cs="Times New Roman"/>
          <w:color w:val="auto"/>
          <w:kern w:val="2"/>
          <w:sz w:val="21"/>
          <w:szCs w:val="22"/>
          <w:highlight w:val="none"/>
          <w:lang w:val="en-US" w:eastAsia="zh-CN" w:bidi="ar-SA"/>
        </w:rPr>
        <w:t>供应商</w:t>
      </w:r>
      <w:r>
        <w:rPr>
          <w:rFonts w:ascii="Times New Roman" w:hAnsi="Times New Roman" w:eastAsia="宋体" w:cs="Times New Roman"/>
          <w:color w:val="auto"/>
          <w:kern w:val="2"/>
          <w:sz w:val="21"/>
          <w:szCs w:val="22"/>
          <w:highlight w:val="none"/>
          <w:lang w:val="en-US" w:eastAsia="zh-CN" w:bidi="ar-SA"/>
        </w:rPr>
        <w:t>自负</w:t>
      </w:r>
      <w:r>
        <w:rPr>
          <w:rFonts w:hint="eastAsia" w:ascii="Times New Roman" w:hAnsi="Times New Roman" w:eastAsia="宋体" w:cs="Times New Roman"/>
          <w:color w:val="auto"/>
          <w:kern w:val="2"/>
          <w:sz w:val="21"/>
          <w:szCs w:val="22"/>
          <w:highlight w:val="none"/>
          <w:lang w:val="en-US" w:eastAsia="zh-CN" w:bidi="ar-SA"/>
        </w:rPr>
        <w:t>。以下格式为参考格式，供应商可根据实际情况修改（磋商承诺函除外）</w:t>
      </w:r>
    </w:p>
    <w:p w14:paraId="15869FE0">
      <w:pPr>
        <w:pStyle w:val="4"/>
        <w:spacing w:after="156" w:afterLines="50"/>
        <w:jc w:val="center"/>
        <w:rPr>
          <w:color w:val="auto"/>
          <w:sz w:val="32"/>
          <w:highlight w:val="none"/>
        </w:rPr>
      </w:pPr>
      <w:r>
        <w:rPr>
          <w:rFonts w:hint="eastAsia"/>
          <w:color w:val="auto"/>
          <w:sz w:val="32"/>
          <w:highlight w:val="none"/>
        </w:rPr>
        <w:t>3</w:t>
      </w:r>
      <w:r>
        <w:rPr>
          <w:color w:val="auto"/>
          <w:sz w:val="32"/>
          <w:highlight w:val="none"/>
        </w:rPr>
        <w:t xml:space="preserve">.1 </w:t>
      </w:r>
      <w:r>
        <w:rPr>
          <w:rFonts w:hint="eastAsia"/>
          <w:color w:val="auto"/>
          <w:sz w:val="32"/>
          <w:highlight w:val="none"/>
        </w:rPr>
        <w:t>磋商承诺函</w:t>
      </w:r>
    </w:p>
    <w:p w14:paraId="3735654F">
      <w:pPr>
        <w:spacing w:line="288" w:lineRule="auto"/>
        <w:rPr>
          <w:rFonts w:hint="eastAsia" w:ascii="宋体" w:hAnsi="宋体"/>
          <w:b/>
          <w:color w:val="auto"/>
          <w:highlight w:val="none"/>
        </w:rPr>
      </w:pPr>
      <w:r>
        <w:rPr>
          <w:rFonts w:hint="eastAsia" w:ascii="宋体" w:hAnsi="宋体"/>
          <w:b/>
          <w:color w:val="auto"/>
          <w:highlight w:val="none"/>
        </w:rPr>
        <w:t xml:space="preserve">致 </w:t>
      </w:r>
      <w:r>
        <w:rPr>
          <w:rFonts w:ascii="宋体" w:hAnsi="宋体"/>
          <w:b/>
          <w:color w:val="auto"/>
          <w:highlight w:val="none"/>
        </w:rPr>
        <w:t xml:space="preserve"> </w:t>
      </w:r>
      <w:r>
        <w:rPr>
          <w:rFonts w:hint="eastAsia" w:ascii="宋体" w:hAnsi="宋体"/>
          <w:b/>
          <w:color w:val="auto"/>
          <w:highlight w:val="none"/>
          <w:u w:val="single"/>
          <w:lang w:val="en-US" w:eastAsia="zh-CN"/>
        </w:rPr>
        <w:t>佛山市禅城区祖庙街道城建和水务办公室、华睿诚项目管理有限公司</w:t>
      </w:r>
      <w:r>
        <w:rPr>
          <w:rFonts w:hint="eastAsia" w:ascii="宋体" w:hAnsi="宋体"/>
          <w:b/>
          <w:color w:val="auto"/>
          <w:highlight w:val="none"/>
        </w:rPr>
        <w:t>：</w:t>
      </w:r>
    </w:p>
    <w:p w14:paraId="5E95E8C2">
      <w:pPr>
        <w:spacing w:line="264" w:lineRule="auto"/>
        <w:ind w:firstLine="480" w:firstLineChars="200"/>
        <w:rPr>
          <w:rFonts w:hint="eastAsia" w:ascii="宋体" w:hAnsi="宋体"/>
          <w:color w:val="auto"/>
          <w:highlight w:val="none"/>
        </w:rPr>
      </w:pPr>
      <w:r>
        <w:rPr>
          <w:rFonts w:hint="eastAsia" w:ascii="宋体" w:hAnsi="宋体"/>
          <w:color w:val="auto"/>
          <w:highlight w:val="none"/>
        </w:rPr>
        <w:t>我方根据采购文件的要求，通过委任的全权代表，向贵方递交密封册装的全套响应文件参与下列项目的磋商，现为我方的一切磋商行为作郑重承诺及声明如下：</w:t>
      </w:r>
    </w:p>
    <w:p w14:paraId="083039B3">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采购项目名称：</w:t>
      </w:r>
      <w:r>
        <w:rPr>
          <w:rFonts w:hint="eastAsia" w:ascii="宋体" w:hAnsi="宋体"/>
          <w:color w:val="auto"/>
          <w:highlight w:val="none"/>
          <w:lang w:val="en-GB" w:eastAsia="zh-CN"/>
        </w:rPr>
        <w:t>佛山市养老养生健康产业园项目保安服务</w:t>
      </w:r>
      <w:r>
        <w:rPr>
          <w:rFonts w:hint="eastAsia" w:ascii="宋体" w:hAnsi="宋体"/>
          <w:color w:val="auto"/>
          <w:highlight w:val="none"/>
          <w:lang w:val="en-GB"/>
        </w:rPr>
        <w:t xml:space="preserve"> </w:t>
      </w:r>
    </w:p>
    <w:p w14:paraId="2BF84FA3">
      <w:pPr>
        <w:tabs>
          <w:tab w:val="left" w:pos="540"/>
        </w:tabs>
        <w:snapToGrid w:val="0"/>
        <w:spacing w:line="264" w:lineRule="auto"/>
        <w:ind w:left="510"/>
        <w:rPr>
          <w:rFonts w:hint="eastAsia" w:ascii="宋体" w:hAnsi="宋体" w:eastAsia="宋体"/>
          <w:color w:val="auto"/>
          <w:highlight w:val="none"/>
          <w:lang w:val="en-GB" w:eastAsia="zh-CN"/>
        </w:rPr>
      </w:pPr>
      <w:r>
        <w:rPr>
          <w:rFonts w:hint="eastAsia" w:ascii="宋体" w:hAnsi="宋体"/>
          <w:color w:val="auto"/>
          <w:highlight w:val="none"/>
          <w:lang w:val="en-GB"/>
        </w:rPr>
        <w:t>采购项目编号：</w:t>
      </w:r>
      <w:r>
        <w:rPr>
          <w:rFonts w:hint="eastAsia" w:ascii="宋体" w:hAnsi="宋体"/>
          <w:color w:val="auto"/>
          <w:highlight w:val="none"/>
          <w:lang w:eastAsia="zh-CN"/>
        </w:rPr>
        <w:t>HRC24FSCS0501</w:t>
      </w:r>
    </w:p>
    <w:p w14:paraId="5D88FB4D">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我方已认真阅读了全部采购文件及其相关文件，完全清楚理解其内容及规约，同意接受文件的要求，均没有任何异议、质疑和误解之处。</w:t>
      </w:r>
    </w:p>
    <w:p w14:paraId="66DCE50F">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我方确认自身完全符合《</w:t>
      </w:r>
      <w:r>
        <w:rPr>
          <w:rFonts w:hint="eastAsia" w:ascii="宋体" w:hAnsi="宋体"/>
          <w:color w:val="auto"/>
          <w:highlight w:val="none"/>
          <w:lang w:val="en-GB" w:eastAsia="zh-CN"/>
        </w:rPr>
        <w:t>中华人民共和国政府采购法</w:t>
      </w:r>
      <w:r>
        <w:rPr>
          <w:rFonts w:hint="eastAsia" w:ascii="宋体" w:hAnsi="宋体"/>
          <w:color w:val="auto"/>
          <w:highlight w:val="none"/>
          <w:lang w:val="en-GB"/>
        </w:rPr>
        <w:t>》第二十二条供应商资格条件要求。</w:t>
      </w:r>
    </w:p>
    <w:p w14:paraId="6922C9DD">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我方所提供的一切文件均已经过认真、严格的审核，其内容均为合法真实、准确有效且毫无遗漏和保留，绝无任何虚假、伪造和夸大的成份，若出现违背诚实信用和无如实告知之处，愿独自承担相应的法律责任。</w:t>
      </w:r>
    </w:p>
    <w:p w14:paraId="27E7BE8B">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磋商有效期为磋商截止时间起90天，若我方获成交资格，磋商有效期则相应延长至项目最终验收合格之日，不论在任何时候，定将按贵方的要求在规定时间内如实提供一切补充材料。</w:t>
      </w:r>
    </w:p>
    <w:p w14:paraId="15B632EF">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完全服从和尊重磋商小组所作的评审结果，同时清楚理解到仅凭磋商报价并非是决定成交资格的唯一重要依据。</w:t>
      </w:r>
    </w:p>
    <w:p w14:paraId="5B632AFD">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同意按采购文件规定向贵方缴纳成交服务费，并按《成交通知书》的要求，如期签订合同并履行其一切责任和义务。</w:t>
      </w:r>
    </w:p>
    <w:p w14:paraId="530CCED9">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我方在参与本次磋商活动中，不曾以任何不正当的手段影响、串通、排斥有关当事人或谋取、施予非法利益，如有行为不当，愿独自承担此行为所造成的后果和法律责任。</w:t>
      </w:r>
    </w:p>
    <w:p w14:paraId="79188212">
      <w:pPr>
        <w:numPr>
          <w:ilvl w:val="0"/>
          <w:numId w:val="53"/>
        </w:numPr>
        <w:tabs>
          <w:tab w:val="left" w:pos="540"/>
        </w:tabs>
        <w:snapToGrid w:val="0"/>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我方承诺已知悉下列要求，并确认我方符合本项目的供应商资格要求：</w:t>
      </w:r>
    </w:p>
    <w:p w14:paraId="163BF499">
      <w:pPr>
        <w:numPr>
          <w:ilvl w:val="1"/>
          <w:numId w:val="54"/>
        </w:numPr>
        <w:tabs>
          <w:tab w:val="left" w:pos="540"/>
        </w:tabs>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供应商须为独立于采购人和采购代理机构且具备本项目实施能力的机构；</w:t>
      </w:r>
    </w:p>
    <w:p w14:paraId="4465A2EB">
      <w:pPr>
        <w:numPr>
          <w:ilvl w:val="1"/>
          <w:numId w:val="54"/>
        </w:numPr>
        <w:tabs>
          <w:tab w:val="left" w:pos="540"/>
        </w:tabs>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与采购人存在利害关系可能影响招标公正性的法人、其他组织或者个人，不得参加磋商；</w:t>
      </w:r>
    </w:p>
    <w:p w14:paraId="6E64334F">
      <w:pPr>
        <w:numPr>
          <w:ilvl w:val="1"/>
          <w:numId w:val="54"/>
        </w:numPr>
        <w:tabs>
          <w:tab w:val="left" w:pos="540"/>
        </w:tabs>
        <w:spacing w:line="264" w:lineRule="auto"/>
        <w:ind w:left="510" w:hanging="510"/>
        <w:rPr>
          <w:rFonts w:hint="eastAsia" w:ascii="宋体" w:hAnsi="宋体"/>
          <w:color w:val="auto"/>
          <w:highlight w:val="none"/>
          <w:lang w:val="en-GB"/>
        </w:rPr>
      </w:pPr>
      <w:r>
        <w:rPr>
          <w:rFonts w:hint="eastAsia" w:ascii="宋体" w:hAnsi="宋体"/>
          <w:color w:val="auto"/>
          <w:highlight w:val="none"/>
          <w:lang w:val="en-GB"/>
        </w:rPr>
        <w:t>单位负责人为同一人或者存在直接控股、管理关系的不同供应商，不得参加同一合同项下的政府采购活动。</w:t>
      </w:r>
    </w:p>
    <w:p w14:paraId="653F00B6">
      <w:pPr>
        <w:numPr>
          <w:ilvl w:val="0"/>
          <w:numId w:val="53"/>
        </w:numPr>
        <w:tabs>
          <w:tab w:val="left" w:pos="540"/>
        </w:tabs>
        <w:snapToGrid w:val="0"/>
        <w:spacing w:line="264" w:lineRule="auto"/>
        <w:ind w:left="510" w:hanging="510"/>
        <w:rPr>
          <w:rFonts w:ascii="宋体" w:hAnsi="宋体"/>
          <w:color w:val="auto"/>
          <w:highlight w:val="none"/>
          <w:lang w:val="en-GB"/>
        </w:rPr>
      </w:pPr>
      <w:r>
        <w:rPr>
          <w:rFonts w:hint="eastAsia" w:ascii="宋体" w:hAnsi="宋体"/>
          <w:color w:val="auto"/>
          <w:highlight w:val="none"/>
          <w:lang w:val="en-GB"/>
        </w:rPr>
        <w:t>本承诺函效力及范围均涵盖整套响应文件和一切补充文件。</w:t>
      </w:r>
    </w:p>
    <w:p w14:paraId="340DAD78">
      <w:pPr>
        <w:spacing w:line="288" w:lineRule="auto"/>
        <w:rPr>
          <w:rFonts w:ascii="宋体" w:hAnsi="宋体"/>
          <w:color w:val="auto"/>
          <w:highlight w:val="none"/>
        </w:rPr>
      </w:pPr>
    </w:p>
    <w:p w14:paraId="3E1189F9">
      <w:pPr>
        <w:tabs>
          <w:tab w:val="left" w:pos="-3780"/>
        </w:tabs>
        <w:spacing w:line="360" w:lineRule="auto"/>
        <w:rPr>
          <w:color w:val="auto"/>
          <w:szCs w:val="24"/>
          <w:highlight w:val="none"/>
        </w:rPr>
      </w:pPr>
      <w:bookmarkStart w:id="122" w:name="_法人代表授权书"/>
      <w:bookmarkEnd w:id="122"/>
      <w:bookmarkStart w:id="123" w:name="_投标承诺函"/>
      <w:bookmarkEnd w:id="123"/>
      <w:r>
        <w:rPr>
          <w:color w:val="auto"/>
          <w:szCs w:val="24"/>
          <w:highlight w:val="none"/>
        </w:rPr>
        <w:t>供应商：</w:t>
      </w:r>
      <w:r>
        <w:rPr>
          <w:color w:val="auto"/>
          <w:szCs w:val="24"/>
          <w:highlight w:val="none"/>
          <w:u w:val="single"/>
        </w:rPr>
        <w:t xml:space="preserve">         （公司名称）          </w:t>
      </w:r>
      <w:r>
        <w:rPr>
          <w:color w:val="auto"/>
          <w:szCs w:val="24"/>
          <w:highlight w:val="none"/>
        </w:rPr>
        <w:t>（盖公章）</w:t>
      </w:r>
    </w:p>
    <w:p w14:paraId="638F9308">
      <w:pPr>
        <w:tabs>
          <w:tab w:val="left" w:pos="-3780"/>
        </w:tabs>
        <w:spacing w:line="360" w:lineRule="auto"/>
        <w:rPr>
          <w:color w:val="auto"/>
          <w:szCs w:val="24"/>
          <w:highlight w:val="none"/>
          <w:u w:val="single"/>
        </w:rPr>
      </w:pPr>
      <w:r>
        <w:rPr>
          <w:color w:val="auto"/>
          <w:szCs w:val="24"/>
          <w:highlight w:val="none"/>
        </w:rPr>
        <w:t>法定代表人（或全权代表）：</w:t>
      </w:r>
      <w:r>
        <w:rPr>
          <w:color w:val="auto"/>
          <w:szCs w:val="24"/>
          <w:highlight w:val="none"/>
          <w:u w:val="single"/>
        </w:rPr>
        <w:t xml:space="preserve">    （签名或签章）  </w:t>
      </w:r>
    </w:p>
    <w:p w14:paraId="10E1746E">
      <w:pPr>
        <w:tabs>
          <w:tab w:val="left" w:pos="-3780"/>
        </w:tabs>
        <w:spacing w:line="360" w:lineRule="auto"/>
        <w:rPr>
          <w:rFonts w:eastAsia="黑体"/>
          <w:color w:val="auto"/>
          <w:szCs w:val="24"/>
          <w:highlight w:val="none"/>
        </w:rPr>
      </w:pPr>
      <w:r>
        <w:rPr>
          <w:color w:val="auto"/>
          <w:szCs w:val="24"/>
          <w:highlight w:val="none"/>
        </w:rPr>
        <w:t>承诺日期：</w:t>
      </w: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color w:val="auto"/>
          <w:szCs w:val="24"/>
          <w:highlight w:val="none"/>
        </w:rPr>
        <w:t xml:space="preserve"> 月</w:t>
      </w:r>
      <w:r>
        <w:rPr>
          <w:color w:val="auto"/>
          <w:szCs w:val="24"/>
          <w:highlight w:val="none"/>
          <w:u w:val="single"/>
        </w:rPr>
        <w:t xml:space="preserve">        </w:t>
      </w:r>
      <w:r>
        <w:rPr>
          <w:color w:val="auto"/>
          <w:szCs w:val="24"/>
          <w:highlight w:val="none"/>
        </w:rPr>
        <w:t>日</w:t>
      </w:r>
    </w:p>
    <w:p w14:paraId="27155CC4">
      <w:pPr>
        <w:tabs>
          <w:tab w:val="left" w:pos="-3780"/>
        </w:tabs>
        <w:spacing w:line="288" w:lineRule="auto"/>
        <w:rPr>
          <w:color w:val="auto"/>
          <w:highlight w:val="none"/>
          <w:lang w:val="en-GB"/>
        </w:rPr>
      </w:pPr>
    </w:p>
    <w:p w14:paraId="16B5C1FD">
      <w:pPr>
        <w:rPr>
          <w:rFonts w:hint="eastAsia" w:ascii="宋体" w:hAnsi="宋体"/>
          <w:b/>
          <w:color w:val="auto"/>
          <w:highlight w:val="none"/>
        </w:rPr>
      </w:pPr>
      <w:r>
        <w:rPr>
          <w:rFonts w:hint="eastAsia" w:ascii="宋体" w:hAnsi="宋体"/>
          <w:b/>
          <w:color w:val="auto"/>
          <w:highlight w:val="none"/>
        </w:rPr>
        <w:t>说明及要求：本承诺函内容不得擅自删改。</w:t>
      </w:r>
    </w:p>
    <w:p w14:paraId="61552CEF">
      <w:pPr>
        <w:rPr>
          <w:rFonts w:hint="eastAsia" w:ascii="宋体" w:hAnsi="宋体"/>
          <w:color w:val="auto"/>
          <w:highlight w:val="none"/>
          <w:lang w:val="en-GB"/>
        </w:rPr>
      </w:pPr>
    </w:p>
    <w:p w14:paraId="1FD8DB02">
      <w:pPr>
        <w:pStyle w:val="4"/>
        <w:spacing w:after="156" w:afterLines="50"/>
        <w:jc w:val="center"/>
        <w:rPr>
          <w:color w:val="auto"/>
          <w:sz w:val="32"/>
          <w:highlight w:val="none"/>
        </w:rPr>
      </w:pPr>
      <w:r>
        <w:rPr>
          <w:rFonts w:hint="eastAsia"/>
          <w:color w:val="auto"/>
          <w:sz w:val="32"/>
          <w:highlight w:val="none"/>
        </w:rPr>
        <w:br w:type="page"/>
      </w:r>
      <w:r>
        <w:rPr>
          <w:rFonts w:hint="eastAsia"/>
          <w:color w:val="auto"/>
          <w:sz w:val="32"/>
          <w:highlight w:val="none"/>
        </w:rPr>
        <w:t>3.2 法定代表人证明书及授权书</w:t>
      </w:r>
    </w:p>
    <w:p w14:paraId="0AD3BF86">
      <w:pPr>
        <w:keepNext/>
        <w:keepLines/>
        <w:widowControl w:val="0"/>
        <w:spacing w:before="0" w:after="0" w:line="240" w:lineRule="auto"/>
        <w:jc w:val="center"/>
        <w:outlineLvl w:val="3"/>
        <w:rPr>
          <w:rFonts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3.2.1 法定代表人证明书</w:t>
      </w:r>
    </w:p>
    <w:p w14:paraId="604B9D33">
      <w:pPr>
        <w:spacing w:line="360" w:lineRule="auto"/>
        <w:rPr>
          <w:rFonts w:hint="eastAsia" w:ascii="宋体" w:hAnsi="宋体"/>
          <w:color w:val="auto"/>
          <w:highlight w:val="none"/>
        </w:rPr>
      </w:pPr>
    </w:p>
    <w:p w14:paraId="1D870B26">
      <w:pPr>
        <w:spacing w:line="360" w:lineRule="auto"/>
        <w:rPr>
          <w:rFonts w:hint="eastAsia" w:ascii="宋体" w:hAnsi="宋体"/>
          <w:color w:val="auto"/>
          <w:highlight w:val="none"/>
        </w:rPr>
      </w:pPr>
      <w:r>
        <w:rPr>
          <w:rFonts w:hint="eastAsia" w:ascii="宋体" w:hAnsi="宋体"/>
          <w:color w:val="auto"/>
          <w:highlight w:val="none"/>
        </w:rPr>
        <w:t>单位名称：</w:t>
      </w:r>
      <w:r>
        <w:rPr>
          <w:rFonts w:ascii="宋体" w:hAnsi="宋体"/>
          <w:color w:val="auto"/>
          <w:highlight w:val="none"/>
          <w:u w:val="single"/>
        </w:rPr>
        <w:t xml:space="preserve">                                         </w:t>
      </w:r>
    </w:p>
    <w:p w14:paraId="21FB1FEC">
      <w:pPr>
        <w:spacing w:line="360" w:lineRule="auto"/>
        <w:rPr>
          <w:rFonts w:hint="eastAsia" w:ascii="宋体" w:hAnsi="宋体"/>
          <w:color w:val="auto"/>
          <w:highlight w:val="none"/>
        </w:rPr>
      </w:pPr>
      <w:r>
        <w:rPr>
          <w:rFonts w:hint="eastAsia" w:ascii="宋体" w:hAnsi="宋体"/>
          <w:color w:val="auto"/>
          <w:highlight w:val="none"/>
        </w:rPr>
        <w:t>地    址：</w:t>
      </w:r>
      <w:r>
        <w:rPr>
          <w:rFonts w:ascii="宋体" w:hAnsi="宋体"/>
          <w:color w:val="auto"/>
          <w:highlight w:val="none"/>
          <w:u w:val="single"/>
        </w:rPr>
        <w:t xml:space="preserve">                                         </w:t>
      </w:r>
    </w:p>
    <w:p w14:paraId="4932016C">
      <w:pPr>
        <w:spacing w:line="360" w:lineRule="auto"/>
        <w:rPr>
          <w:rFonts w:hint="eastAsia" w:ascii="宋体" w:hAnsi="宋体"/>
          <w:color w:val="auto"/>
          <w:highlight w:val="none"/>
        </w:rPr>
      </w:pPr>
      <w:r>
        <w:rPr>
          <w:rFonts w:hint="eastAsia" w:ascii="宋体" w:hAnsi="宋体"/>
          <w:color w:val="auto"/>
          <w:highlight w:val="none"/>
        </w:rPr>
        <w:t>成立时间：</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p>
    <w:p w14:paraId="060CA886">
      <w:pPr>
        <w:spacing w:line="360" w:lineRule="auto"/>
        <w:rPr>
          <w:rFonts w:hint="eastAsia" w:ascii="宋体" w:hAnsi="宋体"/>
          <w:color w:val="auto"/>
          <w:highlight w:val="none"/>
        </w:rPr>
      </w:pPr>
      <w:r>
        <w:rPr>
          <w:rFonts w:hint="eastAsia" w:ascii="宋体" w:hAnsi="宋体"/>
          <w:color w:val="auto"/>
          <w:highlight w:val="none"/>
        </w:rPr>
        <w:t>经营期限：</w:t>
      </w:r>
      <w:r>
        <w:rPr>
          <w:rFonts w:ascii="宋体" w:hAnsi="宋体"/>
          <w:color w:val="auto"/>
          <w:highlight w:val="none"/>
          <w:u w:val="single"/>
        </w:rPr>
        <w:t xml:space="preserve">                                         </w:t>
      </w:r>
    </w:p>
    <w:p w14:paraId="20FF858F">
      <w:pPr>
        <w:spacing w:line="360" w:lineRule="auto"/>
        <w:rPr>
          <w:rFonts w:ascii="宋体" w:hAnsi="宋体"/>
          <w:color w:val="auto"/>
          <w:highlight w:val="none"/>
        </w:rPr>
      </w:pPr>
      <w:r>
        <w:rPr>
          <w:rFonts w:hint="eastAsia" w:ascii="宋体" w:hAnsi="宋体"/>
          <w:color w:val="auto"/>
          <w:highlight w:val="none"/>
        </w:rPr>
        <w:t>姓    名：</w:t>
      </w:r>
      <w:r>
        <w:rPr>
          <w:rFonts w:ascii="宋体" w:hAnsi="宋体"/>
          <w:color w:val="auto"/>
          <w:highlight w:val="none"/>
          <w:u w:val="single"/>
        </w:rPr>
        <w:t xml:space="preserve">         </w:t>
      </w:r>
      <w:r>
        <w:rPr>
          <w:rFonts w:hint="eastAsia" w:ascii="宋体" w:hAnsi="宋体"/>
          <w:color w:val="auto"/>
          <w:highlight w:val="none"/>
        </w:rPr>
        <w:t>；身份证号码：</w:t>
      </w:r>
      <w:r>
        <w:rPr>
          <w:rFonts w:ascii="宋体" w:hAnsi="宋体"/>
          <w:color w:val="auto"/>
          <w:highlight w:val="none"/>
          <w:u w:val="single"/>
        </w:rPr>
        <w:t xml:space="preserve">                  </w:t>
      </w:r>
      <w:r>
        <w:rPr>
          <w:rFonts w:hint="eastAsia" w:ascii="宋体" w:hAnsi="宋体"/>
          <w:color w:val="auto"/>
          <w:highlight w:val="none"/>
        </w:rPr>
        <w:t>；</w:t>
      </w:r>
    </w:p>
    <w:p w14:paraId="4743B8FC">
      <w:pPr>
        <w:spacing w:line="360" w:lineRule="auto"/>
        <w:rPr>
          <w:rFonts w:hint="eastAsia" w:ascii="宋体" w:hAnsi="宋体"/>
          <w:color w:val="auto"/>
          <w:highlight w:val="none"/>
          <w:u w:val="single"/>
        </w:rPr>
      </w:pPr>
      <w:r>
        <w:rPr>
          <w:rFonts w:hint="eastAsia" w:ascii="宋体" w:hAnsi="宋体"/>
          <w:color w:val="auto"/>
          <w:highlight w:val="none"/>
        </w:rPr>
        <w:t>联系电话（手机）：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；职务：</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p>
    <w:p w14:paraId="7125CEAB">
      <w:pPr>
        <w:spacing w:line="360" w:lineRule="auto"/>
        <w:rPr>
          <w:rFonts w:hint="eastAsia" w:ascii="宋体" w:hAnsi="宋体"/>
          <w:color w:val="auto"/>
          <w:highlight w:val="none"/>
          <w:u w:val="single"/>
        </w:rPr>
      </w:pPr>
      <w:r>
        <w:rPr>
          <w:rFonts w:hint="eastAsia" w:ascii="宋体" w:hAnsi="宋体"/>
          <w:color w:val="auto"/>
          <w:highlight w:val="none"/>
        </w:rPr>
        <w:t>性别：</w:t>
      </w:r>
      <w:r>
        <w:rPr>
          <w:rFonts w:ascii="宋体" w:hAnsi="宋体"/>
          <w:color w:val="auto"/>
          <w:highlight w:val="none"/>
          <w:u w:val="single"/>
        </w:rPr>
        <w:t xml:space="preserve">            </w:t>
      </w:r>
      <w:r>
        <w:rPr>
          <w:rFonts w:hint="eastAsia" w:ascii="宋体" w:hAnsi="宋体"/>
          <w:color w:val="auto"/>
          <w:highlight w:val="none"/>
        </w:rPr>
        <w:t>；年龄：</w:t>
      </w:r>
      <w:r>
        <w:rPr>
          <w:rFonts w:ascii="宋体" w:hAnsi="宋体"/>
          <w:color w:val="auto"/>
          <w:highlight w:val="none"/>
          <w:u w:val="single"/>
        </w:rPr>
        <w:t xml:space="preserve">            </w:t>
      </w:r>
    </w:p>
    <w:p w14:paraId="1BB9D042">
      <w:pPr>
        <w:spacing w:line="360" w:lineRule="auto"/>
        <w:rPr>
          <w:rFonts w:hint="eastAsia"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（供应商单位名称）            </w:t>
      </w:r>
      <w:r>
        <w:rPr>
          <w:rFonts w:hint="eastAsia" w:ascii="宋体" w:hAnsi="宋体"/>
          <w:color w:val="auto"/>
          <w:highlight w:val="none"/>
        </w:rPr>
        <w:t>的法定代表人。</w:t>
      </w:r>
    </w:p>
    <w:p w14:paraId="7F1CF4CD">
      <w:pPr>
        <w:spacing w:line="360" w:lineRule="auto"/>
        <w:rPr>
          <w:rFonts w:hint="eastAsia" w:ascii="宋体" w:hAnsi="宋体"/>
          <w:color w:val="auto"/>
          <w:highlight w:val="none"/>
        </w:rPr>
      </w:pPr>
    </w:p>
    <w:p w14:paraId="245DCD0D">
      <w:pPr>
        <w:spacing w:line="360" w:lineRule="auto"/>
        <w:rPr>
          <w:rFonts w:hint="eastAsia" w:ascii="宋体" w:hAnsi="宋体"/>
          <w:color w:val="auto"/>
          <w:highlight w:val="none"/>
        </w:rPr>
      </w:pPr>
      <w:r>
        <w:rPr>
          <w:rFonts w:hint="eastAsia" w:ascii="宋体" w:hAnsi="宋体"/>
          <w:color w:val="auto"/>
          <w:highlight w:val="none"/>
        </w:rPr>
        <w:t>特此证明。</w:t>
      </w:r>
    </w:p>
    <w:p w14:paraId="368EDA83">
      <w:pPr>
        <w:rPr>
          <w:rFonts w:ascii="宋体" w:hAnsi="宋体"/>
          <w:color w:val="auto"/>
          <w:highlight w:val="none"/>
        </w:rPr>
      </w:pPr>
    </w:p>
    <w:p w14:paraId="27212299">
      <w:pPr>
        <w:spacing w:after="156" w:afterLines="50"/>
        <w:rPr>
          <w:rFonts w:ascii="宋体" w:hAnsi="宋体"/>
          <w:b/>
          <w:color w:val="auto"/>
          <w:highlight w:val="none"/>
        </w:rPr>
      </w:pPr>
      <w:r>
        <w:rPr>
          <w:rFonts w:hint="eastAsia" w:ascii="Calibri"/>
          <w:b/>
          <w:color w:val="auto"/>
          <w:highlight w:val="none"/>
          <w:lang w:val="en-GB"/>
        </w:rPr>
        <w:t>法定代表人身份证复印件：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824"/>
      </w:tblGrid>
      <w:tr w14:paraId="4321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824" w:type="dxa"/>
            <w:noWrap w:val="0"/>
            <w:vAlign w:val="center"/>
          </w:tcPr>
          <w:p w14:paraId="0F8CF5B8">
            <w:pPr>
              <w:snapToGrid w:val="0"/>
              <w:spacing w:line="360" w:lineRule="auto"/>
              <w:jc w:val="center"/>
              <w:rPr>
                <w:rFonts w:hint="eastAsia"/>
                <w:color w:val="auto"/>
                <w:highlight w:val="none"/>
                <w:lang w:val="en-GB"/>
              </w:rPr>
            </w:pPr>
            <w:r>
              <w:rPr>
                <w:rFonts w:hint="eastAsia" w:ascii="Calibri"/>
                <w:color w:val="auto"/>
                <w:highlight w:val="none"/>
                <w:lang w:val="en-GB"/>
              </w:rPr>
              <w:t>法定代表人</w:t>
            </w:r>
          </w:p>
          <w:p w14:paraId="28748998">
            <w:pPr>
              <w:snapToGrid w:val="0"/>
              <w:spacing w:line="360" w:lineRule="auto"/>
              <w:jc w:val="center"/>
              <w:rPr>
                <w:rFonts w:hint="eastAsia"/>
                <w:color w:val="auto"/>
                <w:highlight w:val="none"/>
                <w:lang w:val="en-GB"/>
              </w:rPr>
            </w:pPr>
            <w:r>
              <w:rPr>
                <w:rFonts w:hint="eastAsia" w:ascii="Calibri"/>
                <w:color w:val="auto"/>
                <w:highlight w:val="none"/>
                <w:lang w:val="en-GB"/>
              </w:rPr>
              <w:t>第二代居民身份证复印件粘贴处</w:t>
            </w:r>
          </w:p>
          <w:p w14:paraId="3C372E20">
            <w:pPr>
              <w:jc w:val="center"/>
              <w:rPr>
                <w:rFonts w:hint="eastAsia"/>
                <w:color w:val="auto"/>
                <w:highlight w:val="none"/>
                <w:lang w:val="en-GB"/>
              </w:rPr>
            </w:pPr>
            <w:r>
              <w:rPr>
                <w:rFonts w:hint="eastAsia" w:ascii="Calibri"/>
                <w:color w:val="auto"/>
                <w:highlight w:val="none"/>
                <w:lang w:val="en-GB"/>
              </w:rPr>
              <w:t>（正面）</w:t>
            </w:r>
          </w:p>
          <w:p w14:paraId="418AA248">
            <w:pPr>
              <w:jc w:val="left"/>
              <w:rPr>
                <w:rFonts w:hint="eastAsia"/>
                <w:color w:val="auto"/>
                <w:sz w:val="22"/>
                <w:highlight w:val="none"/>
                <w:lang w:val="en-GB"/>
              </w:rPr>
            </w:pPr>
          </w:p>
          <w:p w14:paraId="2635BC05">
            <w:pPr>
              <w:jc w:val="left"/>
              <w:rPr>
                <w:rFonts w:hint="eastAsia"/>
                <w:color w:val="auto"/>
                <w:sz w:val="22"/>
                <w:highlight w:val="none"/>
                <w:lang w:val="en-GB"/>
              </w:rPr>
            </w:pPr>
            <w:r>
              <w:rPr>
                <w:rFonts w:hint="eastAsia" w:ascii="Calibri"/>
                <w:color w:val="auto"/>
                <w:sz w:val="22"/>
                <w:highlight w:val="none"/>
                <w:lang w:val="en-GB"/>
              </w:rPr>
              <w:t>可选择以下方式贴上（任意一种）：</w:t>
            </w:r>
          </w:p>
          <w:p w14:paraId="54F0C098">
            <w:pPr>
              <w:jc w:val="left"/>
              <w:rPr>
                <w:rFonts w:hint="eastAsia"/>
                <w:color w:val="auto"/>
                <w:sz w:val="22"/>
                <w:highlight w:val="none"/>
                <w:lang w:val="en-GB"/>
              </w:rPr>
            </w:pPr>
            <w:r>
              <w:rPr>
                <w:rFonts w:hint="eastAsia" w:ascii="Calibri"/>
                <w:color w:val="auto"/>
                <w:sz w:val="22"/>
                <w:highlight w:val="none"/>
                <w:lang w:val="en-GB"/>
              </w:rPr>
              <w:t>1、以扫描件、电子版等方式贴在此处，再打印；</w:t>
            </w:r>
          </w:p>
          <w:p w14:paraId="43AF14B1">
            <w:pPr>
              <w:jc w:val="left"/>
              <w:rPr>
                <w:rFonts w:hint="eastAsia"/>
                <w:color w:val="auto"/>
                <w:sz w:val="22"/>
                <w:highlight w:val="none"/>
                <w:lang w:val="en-GB"/>
              </w:rPr>
            </w:pPr>
            <w:r>
              <w:rPr>
                <w:rFonts w:hint="eastAsia" w:ascii="Calibri"/>
                <w:color w:val="auto"/>
                <w:sz w:val="22"/>
                <w:highlight w:val="none"/>
                <w:lang w:val="en-GB"/>
              </w:rPr>
              <w:t>2、剪下身份证复印件，粘贴在此处；</w:t>
            </w:r>
          </w:p>
          <w:p w14:paraId="68DDD5F6">
            <w:pPr>
              <w:jc w:val="left"/>
              <w:rPr>
                <w:rFonts w:hint="eastAsia"/>
                <w:color w:val="auto"/>
                <w:sz w:val="22"/>
                <w:highlight w:val="none"/>
                <w:lang w:val="en-GB"/>
              </w:rPr>
            </w:pPr>
            <w:r>
              <w:rPr>
                <w:rFonts w:hint="eastAsia" w:ascii="Calibri"/>
                <w:color w:val="auto"/>
                <w:sz w:val="22"/>
                <w:highlight w:val="none"/>
                <w:lang w:val="en-GB"/>
              </w:rPr>
              <w:t>3、另付页（复印件或扫描件，加盖公章）。</w:t>
            </w:r>
          </w:p>
          <w:p w14:paraId="798D0685">
            <w:pPr>
              <w:jc w:val="left"/>
              <w:rPr>
                <w:color w:val="auto"/>
                <w:sz w:val="22"/>
                <w:highlight w:val="none"/>
                <w:lang w:val="en-GB"/>
              </w:rPr>
            </w:pPr>
            <w:r>
              <w:rPr>
                <w:rFonts w:hint="eastAsia" w:ascii="Calibri"/>
                <w:color w:val="auto"/>
                <w:sz w:val="22"/>
                <w:highlight w:val="none"/>
                <w:lang w:val="en-GB"/>
              </w:rPr>
              <w:t>注：粘贴时可覆盖线框。</w:t>
            </w:r>
          </w:p>
        </w:tc>
        <w:tc>
          <w:tcPr>
            <w:tcW w:w="4824" w:type="dxa"/>
            <w:noWrap w:val="0"/>
            <w:vAlign w:val="center"/>
          </w:tcPr>
          <w:p w14:paraId="394EE207">
            <w:pPr>
              <w:snapToGrid w:val="0"/>
              <w:spacing w:line="360" w:lineRule="auto"/>
              <w:jc w:val="center"/>
              <w:rPr>
                <w:rFonts w:hint="eastAsia"/>
                <w:color w:val="auto"/>
                <w:highlight w:val="none"/>
                <w:lang w:val="en-GB"/>
              </w:rPr>
            </w:pPr>
            <w:r>
              <w:rPr>
                <w:rFonts w:hint="eastAsia" w:ascii="Calibri"/>
                <w:color w:val="auto"/>
                <w:highlight w:val="none"/>
                <w:lang w:val="en-GB"/>
              </w:rPr>
              <w:t>法定代表人</w:t>
            </w:r>
          </w:p>
          <w:p w14:paraId="18B8576D">
            <w:pPr>
              <w:snapToGrid w:val="0"/>
              <w:spacing w:line="360" w:lineRule="auto"/>
              <w:jc w:val="center"/>
              <w:rPr>
                <w:rFonts w:hint="eastAsia"/>
                <w:color w:val="auto"/>
                <w:highlight w:val="none"/>
                <w:lang w:val="en-GB"/>
              </w:rPr>
            </w:pPr>
            <w:r>
              <w:rPr>
                <w:rFonts w:hint="eastAsia" w:ascii="Calibri"/>
                <w:color w:val="auto"/>
                <w:highlight w:val="none"/>
                <w:lang w:val="en-GB"/>
              </w:rPr>
              <w:t>第二代居民身份证复印件粘贴处</w:t>
            </w:r>
          </w:p>
          <w:p w14:paraId="4B80508C">
            <w:pPr>
              <w:jc w:val="center"/>
              <w:rPr>
                <w:rFonts w:hint="eastAsia"/>
                <w:color w:val="auto"/>
                <w:highlight w:val="none"/>
                <w:lang w:val="en-GB"/>
              </w:rPr>
            </w:pPr>
            <w:r>
              <w:rPr>
                <w:rFonts w:hint="eastAsia" w:ascii="Calibri"/>
                <w:color w:val="auto"/>
                <w:highlight w:val="none"/>
                <w:lang w:val="en-GB"/>
              </w:rPr>
              <w:t>（背面）</w:t>
            </w:r>
          </w:p>
          <w:p w14:paraId="2FFF4FA3">
            <w:pPr>
              <w:jc w:val="center"/>
              <w:rPr>
                <w:rFonts w:hint="eastAsia"/>
                <w:color w:val="auto"/>
                <w:highlight w:val="none"/>
                <w:lang w:val="en-GB"/>
              </w:rPr>
            </w:pPr>
          </w:p>
          <w:p w14:paraId="014EE151">
            <w:pPr>
              <w:jc w:val="left"/>
              <w:rPr>
                <w:rFonts w:hint="eastAsia"/>
                <w:color w:val="auto"/>
                <w:sz w:val="22"/>
                <w:highlight w:val="none"/>
                <w:lang w:val="en-GB"/>
              </w:rPr>
            </w:pPr>
            <w:r>
              <w:rPr>
                <w:rFonts w:hint="eastAsia" w:ascii="Calibri"/>
                <w:color w:val="auto"/>
                <w:sz w:val="22"/>
                <w:highlight w:val="none"/>
                <w:lang w:val="en-GB"/>
              </w:rPr>
              <w:t>可选择以下方式贴上（任意一种）：</w:t>
            </w:r>
          </w:p>
          <w:p w14:paraId="5F41BB6F">
            <w:pPr>
              <w:jc w:val="left"/>
              <w:rPr>
                <w:rFonts w:hint="eastAsia"/>
                <w:color w:val="auto"/>
                <w:sz w:val="22"/>
                <w:highlight w:val="none"/>
                <w:lang w:val="en-GB"/>
              </w:rPr>
            </w:pPr>
            <w:r>
              <w:rPr>
                <w:rFonts w:hint="eastAsia" w:ascii="Calibri"/>
                <w:color w:val="auto"/>
                <w:sz w:val="22"/>
                <w:highlight w:val="none"/>
                <w:lang w:val="en-GB"/>
              </w:rPr>
              <w:t>1、以扫描件、电子版等方式贴在此处，再打印；</w:t>
            </w:r>
          </w:p>
          <w:p w14:paraId="38014E00">
            <w:pPr>
              <w:jc w:val="left"/>
              <w:rPr>
                <w:rFonts w:hint="eastAsia"/>
                <w:color w:val="auto"/>
                <w:sz w:val="22"/>
                <w:highlight w:val="none"/>
                <w:lang w:val="en-GB"/>
              </w:rPr>
            </w:pPr>
            <w:r>
              <w:rPr>
                <w:rFonts w:hint="eastAsia" w:ascii="Calibri"/>
                <w:color w:val="auto"/>
                <w:sz w:val="22"/>
                <w:highlight w:val="none"/>
                <w:lang w:val="en-GB"/>
              </w:rPr>
              <w:t>2、剪下身份证复印件，粘贴在此处；</w:t>
            </w:r>
          </w:p>
          <w:p w14:paraId="78538CB7">
            <w:pPr>
              <w:jc w:val="left"/>
              <w:rPr>
                <w:rFonts w:hint="eastAsia"/>
                <w:color w:val="auto"/>
                <w:sz w:val="22"/>
                <w:highlight w:val="none"/>
                <w:lang w:val="en-GB"/>
              </w:rPr>
            </w:pPr>
            <w:r>
              <w:rPr>
                <w:rFonts w:hint="eastAsia" w:ascii="Calibri"/>
                <w:color w:val="auto"/>
                <w:sz w:val="22"/>
                <w:highlight w:val="none"/>
                <w:lang w:val="en-GB"/>
              </w:rPr>
              <w:t>3、另付页（复印件或扫描件，加盖公章）。</w:t>
            </w:r>
          </w:p>
          <w:p w14:paraId="75A995A9">
            <w:pPr>
              <w:jc w:val="left"/>
              <w:rPr>
                <w:rFonts w:ascii="宋体" w:hAnsi="宋体"/>
                <w:color w:val="auto"/>
                <w:highlight w:val="none"/>
              </w:rPr>
            </w:pPr>
            <w:r>
              <w:rPr>
                <w:rFonts w:hint="eastAsia" w:ascii="Calibri"/>
                <w:color w:val="auto"/>
                <w:sz w:val="22"/>
                <w:highlight w:val="none"/>
                <w:lang w:val="en-GB"/>
              </w:rPr>
              <w:t>注：粘贴时可覆盖线框。</w:t>
            </w:r>
          </w:p>
        </w:tc>
      </w:tr>
    </w:tbl>
    <w:p w14:paraId="1FB82447">
      <w:pPr>
        <w:rPr>
          <w:rFonts w:ascii="宋体" w:hAnsi="宋体"/>
          <w:color w:val="auto"/>
          <w:highlight w:val="none"/>
        </w:rPr>
      </w:pPr>
    </w:p>
    <w:p w14:paraId="1DDDE729">
      <w:pPr>
        <w:rPr>
          <w:rFonts w:ascii="宋体" w:hAnsi="宋体"/>
          <w:color w:val="auto"/>
          <w:highlight w:val="none"/>
        </w:rPr>
      </w:pPr>
    </w:p>
    <w:p w14:paraId="2D6C3AD1">
      <w:pPr>
        <w:tabs>
          <w:tab w:val="left" w:pos="-3780"/>
        </w:tabs>
        <w:spacing w:line="360" w:lineRule="auto"/>
        <w:rPr>
          <w:color w:val="auto"/>
          <w:szCs w:val="24"/>
          <w:highlight w:val="none"/>
        </w:rPr>
      </w:pPr>
      <w:r>
        <w:rPr>
          <w:color w:val="auto"/>
          <w:szCs w:val="24"/>
          <w:highlight w:val="none"/>
        </w:rPr>
        <w:t>供应商：</w:t>
      </w:r>
      <w:r>
        <w:rPr>
          <w:color w:val="auto"/>
          <w:szCs w:val="24"/>
          <w:highlight w:val="none"/>
          <w:u w:val="single"/>
        </w:rPr>
        <w:t xml:space="preserve">         （公司名称）          </w:t>
      </w:r>
      <w:r>
        <w:rPr>
          <w:color w:val="auto"/>
          <w:szCs w:val="24"/>
          <w:highlight w:val="none"/>
        </w:rPr>
        <w:t>（盖公章）</w:t>
      </w:r>
    </w:p>
    <w:p w14:paraId="2B7DFDA7">
      <w:pPr>
        <w:tabs>
          <w:tab w:val="left" w:pos="-3780"/>
        </w:tabs>
        <w:spacing w:line="360" w:lineRule="auto"/>
        <w:rPr>
          <w:color w:val="auto"/>
          <w:szCs w:val="24"/>
          <w:highlight w:val="none"/>
          <w:u w:val="single"/>
        </w:rPr>
      </w:pPr>
      <w:r>
        <w:rPr>
          <w:color w:val="auto"/>
          <w:szCs w:val="24"/>
          <w:highlight w:val="none"/>
        </w:rPr>
        <w:t>法定代表人（或全权代表）：</w:t>
      </w:r>
      <w:r>
        <w:rPr>
          <w:color w:val="auto"/>
          <w:szCs w:val="24"/>
          <w:highlight w:val="none"/>
          <w:u w:val="single"/>
        </w:rPr>
        <w:t xml:space="preserve">    （签名或签章）  </w:t>
      </w:r>
    </w:p>
    <w:p w14:paraId="76202B07">
      <w:pPr>
        <w:tabs>
          <w:tab w:val="left" w:pos="-3780"/>
        </w:tabs>
        <w:spacing w:line="360" w:lineRule="auto"/>
        <w:rPr>
          <w:rFonts w:eastAsia="黑体"/>
          <w:color w:val="auto"/>
          <w:szCs w:val="24"/>
          <w:highlight w:val="none"/>
        </w:rPr>
      </w:pPr>
      <w:r>
        <w:rPr>
          <w:color w:val="auto"/>
          <w:szCs w:val="24"/>
          <w:highlight w:val="none"/>
        </w:rPr>
        <w:t>承诺日期：</w:t>
      </w: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color w:val="auto"/>
          <w:szCs w:val="24"/>
          <w:highlight w:val="none"/>
        </w:rPr>
        <w:t xml:space="preserve"> 月</w:t>
      </w:r>
      <w:r>
        <w:rPr>
          <w:color w:val="auto"/>
          <w:szCs w:val="24"/>
          <w:highlight w:val="none"/>
          <w:u w:val="single"/>
        </w:rPr>
        <w:t xml:space="preserve">        </w:t>
      </w:r>
      <w:r>
        <w:rPr>
          <w:color w:val="auto"/>
          <w:szCs w:val="24"/>
          <w:highlight w:val="none"/>
        </w:rPr>
        <w:t>日</w:t>
      </w:r>
    </w:p>
    <w:p w14:paraId="1B9D14CF">
      <w:pPr>
        <w:spacing w:line="480" w:lineRule="auto"/>
        <w:ind w:firstLine="480" w:firstLineChars="200"/>
        <w:rPr>
          <w:rFonts w:hint="eastAsia" w:ascii="宋体" w:hAnsi="宋体"/>
          <w:color w:val="auto"/>
          <w:highlight w:val="none"/>
        </w:rPr>
      </w:pPr>
    </w:p>
    <w:p w14:paraId="3E55A91B">
      <w:pPr>
        <w:rPr>
          <w:rFonts w:ascii="宋体" w:hAnsi="宋体"/>
          <w:color w:val="auto"/>
          <w:highlight w:val="none"/>
        </w:rPr>
      </w:pPr>
    </w:p>
    <w:p w14:paraId="603A600C">
      <w:pPr>
        <w:keepNext/>
        <w:keepLines/>
        <w:widowControl w:val="0"/>
        <w:spacing w:before="0" w:after="0" w:line="240" w:lineRule="auto"/>
        <w:jc w:val="center"/>
        <w:outlineLvl w:val="3"/>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br w:type="page"/>
      </w:r>
      <w:r>
        <w:rPr>
          <w:rFonts w:hint="eastAsia" w:ascii="Times New Roman" w:hAnsi="Times New Roman" w:eastAsia="宋体" w:cs="Times New Roman"/>
          <w:b/>
          <w:bCs/>
          <w:color w:val="auto"/>
          <w:kern w:val="2"/>
          <w:sz w:val="28"/>
          <w:szCs w:val="28"/>
          <w:highlight w:val="none"/>
          <w:lang w:val="en-US" w:eastAsia="zh-CN" w:bidi="ar-SA"/>
        </w:rPr>
        <w:t>3.2.2 供应商授权书</w:t>
      </w:r>
    </w:p>
    <w:p w14:paraId="360811C3">
      <w:pPr>
        <w:jc w:val="center"/>
        <w:rPr>
          <w:b/>
          <w:color w:val="auto"/>
          <w:highlight w:val="none"/>
        </w:rPr>
      </w:pPr>
      <w:r>
        <w:rPr>
          <w:b/>
          <w:color w:val="auto"/>
          <w:highlight w:val="none"/>
        </w:rPr>
        <w:t>（注：若</w:t>
      </w:r>
      <w:r>
        <w:rPr>
          <w:rFonts w:hint="eastAsia"/>
          <w:b/>
          <w:color w:val="auto"/>
          <w:highlight w:val="none"/>
        </w:rPr>
        <w:t>供应商“法定代表人”参加磋商和签署响应文件的不须提供该授权书</w:t>
      </w:r>
      <w:r>
        <w:rPr>
          <w:b/>
          <w:color w:val="auto"/>
          <w:highlight w:val="none"/>
        </w:rPr>
        <w:t>）</w:t>
      </w:r>
    </w:p>
    <w:p w14:paraId="37D33DFF">
      <w:pPr>
        <w:spacing w:line="288" w:lineRule="auto"/>
        <w:rPr>
          <w:rFonts w:hint="eastAsia" w:ascii="宋体" w:hAnsi="宋体"/>
          <w:b/>
          <w:color w:val="auto"/>
          <w:highlight w:val="none"/>
        </w:rPr>
      </w:pPr>
      <w:r>
        <w:rPr>
          <w:rFonts w:hint="eastAsia" w:ascii="宋体" w:hAnsi="宋体"/>
          <w:b/>
          <w:color w:val="auto"/>
          <w:highlight w:val="none"/>
        </w:rPr>
        <w:t xml:space="preserve">致 </w:t>
      </w:r>
      <w:r>
        <w:rPr>
          <w:rFonts w:ascii="宋体" w:hAnsi="宋体"/>
          <w:b/>
          <w:color w:val="auto"/>
          <w:highlight w:val="none"/>
        </w:rPr>
        <w:t xml:space="preserve"> </w:t>
      </w:r>
      <w:r>
        <w:rPr>
          <w:rFonts w:hint="eastAsia" w:ascii="宋体" w:hAnsi="宋体"/>
          <w:b/>
          <w:color w:val="auto"/>
          <w:highlight w:val="none"/>
          <w:u w:val="single"/>
          <w:lang w:eastAsia="zh-CN"/>
        </w:rPr>
        <w:t>佛山市禅城区祖庙街道城建和水务办公室</w:t>
      </w:r>
      <w:r>
        <w:rPr>
          <w:rFonts w:hint="eastAsia" w:ascii="宋体" w:hAnsi="宋体"/>
          <w:b/>
          <w:color w:val="auto"/>
          <w:highlight w:val="none"/>
        </w:rPr>
        <w:t>：</w:t>
      </w:r>
    </w:p>
    <w:p w14:paraId="40E4B613">
      <w:pPr>
        <w:spacing w:line="288" w:lineRule="auto"/>
        <w:ind w:firstLine="480" w:firstLineChars="200"/>
        <w:rPr>
          <w:rFonts w:hint="eastAsia" w:ascii="宋体" w:hAnsi="宋体"/>
          <w:color w:val="auto"/>
          <w:szCs w:val="24"/>
          <w:highlight w:val="none"/>
        </w:rPr>
      </w:pPr>
      <w:r>
        <w:rPr>
          <w:rFonts w:hint="eastAsia" w:ascii="宋体" w:hAnsi="宋体"/>
          <w:color w:val="auto"/>
          <w:szCs w:val="24"/>
          <w:highlight w:val="none"/>
          <w:lang w:val="en-GB"/>
        </w:rPr>
        <w:t>我方现授权委任以下之在职员工，作为我方唯一全权代表，亲自出席参与贵方承办的采购项目磋商，对该代表人所提供、签署的一切文书均视为符合我方的合法利益和真实意愿，我方愿为其磋商行为承担全部责任。</w:t>
      </w:r>
    </w:p>
    <w:p w14:paraId="67DF16A0">
      <w:pPr>
        <w:spacing w:line="288" w:lineRule="auto"/>
        <w:ind w:firstLine="482" w:firstLineChars="200"/>
        <w:rPr>
          <w:rFonts w:hint="eastAsia" w:ascii="宋体" w:hAnsi="宋体"/>
          <w:color w:val="auto"/>
          <w:szCs w:val="24"/>
          <w:highlight w:val="none"/>
        </w:rPr>
      </w:pPr>
      <w:r>
        <w:rPr>
          <w:rFonts w:hint="eastAsia" w:ascii="宋体" w:hAnsi="宋体"/>
          <w:b/>
          <w:color w:val="auto"/>
          <w:szCs w:val="24"/>
          <w:highlight w:val="none"/>
          <w:lang w:val="en-GB"/>
        </w:rPr>
        <w:t>采购项目名称：</w:t>
      </w:r>
      <w:r>
        <w:rPr>
          <w:rFonts w:hint="eastAsia" w:ascii="宋体" w:hAnsi="宋体"/>
          <w:color w:val="auto"/>
          <w:szCs w:val="24"/>
          <w:highlight w:val="none"/>
          <w:lang w:val="en-GB" w:eastAsia="zh-CN"/>
        </w:rPr>
        <w:t>佛山市养老养生健康产业园项目保安服务</w:t>
      </w:r>
    </w:p>
    <w:p w14:paraId="5E435F5E">
      <w:pPr>
        <w:spacing w:line="288" w:lineRule="auto"/>
        <w:ind w:firstLine="482" w:firstLineChars="200"/>
        <w:rPr>
          <w:rFonts w:hint="eastAsia" w:ascii="宋体" w:hAnsi="宋体"/>
          <w:color w:val="auto"/>
          <w:szCs w:val="24"/>
          <w:highlight w:val="none"/>
        </w:rPr>
      </w:pPr>
      <w:r>
        <w:rPr>
          <w:rFonts w:hint="eastAsia" w:ascii="宋体" w:hAnsi="宋体"/>
          <w:b/>
          <w:color w:val="auto"/>
          <w:szCs w:val="24"/>
          <w:highlight w:val="none"/>
        </w:rPr>
        <w:t>采购项目编号：</w:t>
      </w:r>
      <w:r>
        <w:rPr>
          <w:rFonts w:hint="eastAsia" w:ascii="宋体" w:hAnsi="宋体"/>
          <w:color w:val="auto"/>
          <w:szCs w:val="24"/>
          <w:highlight w:val="none"/>
          <w:lang w:eastAsia="zh-CN"/>
        </w:rPr>
        <w:t>HRC24FSCS0501</w:t>
      </w:r>
      <w:r>
        <w:rPr>
          <w:rFonts w:hint="eastAsia" w:ascii="宋体" w:hAnsi="宋体"/>
          <w:color w:val="auto"/>
          <w:szCs w:val="24"/>
          <w:highlight w:val="none"/>
          <w:lang w:val="en-GB"/>
        </w:rPr>
        <w:t xml:space="preserve"> </w:t>
      </w:r>
    </w:p>
    <w:p w14:paraId="470815BA">
      <w:pPr>
        <w:spacing w:line="288" w:lineRule="auto"/>
        <w:ind w:left="1661" w:leftChars="200" w:hanging="1181" w:hangingChars="490"/>
        <w:rPr>
          <w:rFonts w:hint="eastAsia" w:ascii="宋体" w:hAnsi="宋体"/>
          <w:color w:val="auto"/>
          <w:szCs w:val="24"/>
          <w:highlight w:val="none"/>
        </w:rPr>
      </w:pPr>
      <w:r>
        <w:rPr>
          <w:rFonts w:hint="eastAsia" w:ascii="宋体" w:hAnsi="宋体"/>
          <w:b/>
          <w:color w:val="auto"/>
          <w:szCs w:val="24"/>
          <w:highlight w:val="none"/>
        </w:rPr>
        <w:t>授权权限：</w:t>
      </w:r>
      <w:r>
        <w:rPr>
          <w:rFonts w:hint="eastAsia" w:ascii="宋体" w:hAnsi="宋体"/>
          <w:color w:val="auto"/>
          <w:szCs w:val="24"/>
          <w:highlight w:val="none"/>
        </w:rPr>
        <w:t>全权代表我方参与上述项目的磋商、递交响应文件；按照采购人和磋商小组的要求现场处理磋商相关事宜；负责提供与签署确认一切文书资料，以及向贵方递交任何补充承诺，其签字与我方公章具有相同的法律效力。</w:t>
      </w:r>
    </w:p>
    <w:p w14:paraId="477A2DF7">
      <w:pPr>
        <w:spacing w:line="288" w:lineRule="auto"/>
        <w:ind w:left="1661" w:leftChars="200" w:hanging="1181" w:hangingChars="490"/>
        <w:rPr>
          <w:rFonts w:ascii="宋体" w:hAnsi="宋体"/>
          <w:color w:val="auto"/>
          <w:szCs w:val="24"/>
          <w:highlight w:val="none"/>
        </w:rPr>
      </w:pPr>
      <w:r>
        <w:rPr>
          <w:rFonts w:hint="eastAsia" w:ascii="宋体" w:hAnsi="宋体"/>
          <w:b/>
          <w:color w:val="auto"/>
          <w:szCs w:val="24"/>
          <w:highlight w:val="none"/>
        </w:rPr>
        <w:t>有效期限：</w:t>
      </w:r>
      <w:r>
        <w:rPr>
          <w:rFonts w:hint="eastAsia" w:ascii="宋体" w:hAnsi="宋体"/>
          <w:color w:val="auto"/>
          <w:szCs w:val="24"/>
          <w:highlight w:val="none"/>
        </w:rPr>
        <w:t>与本项目采购文件中标注的磋商有效期相同，自我方法定代表人签字（或签章）并加盖公章之日起生效。</w:t>
      </w:r>
    </w:p>
    <w:tbl>
      <w:tblPr>
        <w:tblStyle w:val="15"/>
        <w:tblW w:w="0" w:type="auto"/>
        <w:jc w:val="center"/>
        <w:tblLayout w:type="fixed"/>
        <w:tblCellMar>
          <w:top w:w="0" w:type="dxa"/>
          <w:left w:w="108" w:type="dxa"/>
          <w:bottom w:w="0" w:type="dxa"/>
          <w:right w:w="108" w:type="dxa"/>
        </w:tblCellMar>
      </w:tblPr>
      <w:tblGrid>
        <w:gridCol w:w="4994"/>
        <w:gridCol w:w="4496"/>
      </w:tblGrid>
      <w:tr w14:paraId="6DF2EAF5">
        <w:tblPrEx>
          <w:tblCellMar>
            <w:top w:w="0" w:type="dxa"/>
            <w:left w:w="108" w:type="dxa"/>
            <w:bottom w:w="0" w:type="dxa"/>
            <w:right w:w="108" w:type="dxa"/>
          </w:tblCellMar>
        </w:tblPrEx>
        <w:trPr>
          <w:trHeight w:val="423" w:hRule="atLeast"/>
          <w:jc w:val="center"/>
        </w:trPr>
        <w:tc>
          <w:tcPr>
            <w:tcW w:w="9490" w:type="dxa"/>
            <w:gridSpan w:val="2"/>
            <w:noWrap w:val="0"/>
            <w:vAlign w:val="bottom"/>
          </w:tcPr>
          <w:p w14:paraId="2B1266E8">
            <w:pPr>
              <w:spacing w:line="360" w:lineRule="auto"/>
              <w:jc w:val="left"/>
              <w:rPr>
                <w:rFonts w:hint="eastAsia"/>
                <w:color w:val="auto"/>
                <w:highlight w:val="none"/>
                <w:lang w:val="en-GB"/>
              </w:rPr>
            </w:pPr>
            <w:r>
              <w:rPr>
                <w:rFonts w:hint="eastAsia" w:ascii="Calibri"/>
                <w:color w:val="auto"/>
                <w:highlight w:val="none"/>
                <w:lang w:val="en-GB"/>
              </w:rPr>
              <w:t>公司名称：</w:t>
            </w:r>
            <w:r>
              <w:rPr>
                <w:rFonts w:hint="eastAsia" w:ascii="Calibri"/>
                <w:color w:val="auto"/>
                <w:highlight w:val="none"/>
                <w:u w:val="single"/>
                <w:lang w:val="en-GB"/>
              </w:rPr>
              <w:t xml:space="preserve">                                                           （公章）</w:t>
            </w:r>
          </w:p>
        </w:tc>
      </w:tr>
      <w:tr w14:paraId="4FDF7C87">
        <w:tblPrEx>
          <w:tblCellMar>
            <w:top w:w="0" w:type="dxa"/>
            <w:left w:w="108" w:type="dxa"/>
            <w:bottom w:w="0" w:type="dxa"/>
            <w:right w:w="108" w:type="dxa"/>
          </w:tblCellMar>
        </w:tblPrEx>
        <w:trPr>
          <w:trHeight w:val="423" w:hRule="atLeast"/>
          <w:jc w:val="center"/>
        </w:trPr>
        <w:tc>
          <w:tcPr>
            <w:tcW w:w="4994" w:type="dxa"/>
            <w:noWrap w:val="0"/>
            <w:vAlign w:val="center"/>
          </w:tcPr>
          <w:p w14:paraId="6A098B71">
            <w:pPr>
              <w:spacing w:line="360" w:lineRule="auto"/>
              <w:jc w:val="left"/>
              <w:rPr>
                <w:rFonts w:hint="eastAsia"/>
                <w:color w:val="auto"/>
                <w:highlight w:val="none"/>
                <w:lang w:val="en-GB"/>
              </w:rPr>
            </w:pPr>
            <w:r>
              <w:rPr>
                <w:rFonts w:hint="eastAsia" w:ascii="Calibri"/>
                <w:color w:val="auto"/>
                <w:highlight w:val="none"/>
                <w:lang w:val="en-GB"/>
              </w:rPr>
              <w:t>全权代表：</w:t>
            </w:r>
            <w:r>
              <w:rPr>
                <w:rFonts w:hint="eastAsia" w:ascii="Calibri"/>
                <w:color w:val="auto"/>
                <w:highlight w:val="none"/>
                <w:u w:val="single"/>
                <w:lang w:val="en-GB"/>
              </w:rPr>
              <w:t xml:space="preserve">                        </w:t>
            </w:r>
          </w:p>
        </w:tc>
        <w:tc>
          <w:tcPr>
            <w:tcW w:w="4496" w:type="dxa"/>
            <w:noWrap w:val="0"/>
            <w:vAlign w:val="center"/>
          </w:tcPr>
          <w:p w14:paraId="765A6DE2">
            <w:pPr>
              <w:spacing w:line="360" w:lineRule="auto"/>
              <w:jc w:val="left"/>
              <w:rPr>
                <w:rFonts w:hint="eastAsia"/>
                <w:color w:val="auto"/>
                <w:highlight w:val="none"/>
                <w:lang w:val="en-GB"/>
              </w:rPr>
            </w:pPr>
            <w:r>
              <w:rPr>
                <w:rFonts w:hint="eastAsia" w:ascii="Calibri"/>
                <w:color w:val="auto"/>
                <w:highlight w:val="none"/>
                <w:lang w:val="en-GB"/>
              </w:rPr>
              <w:t>法定代表人：</w:t>
            </w:r>
            <w:r>
              <w:rPr>
                <w:rFonts w:hint="eastAsia" w:ascii="Calibri"/>
                <w:color w:val="auto"/>
                <w:highlight w:val="none"/>
                <w:u w:val="single"/>
                <w:lang w:val="en-GB"/>
              </w:rPr>
              <w:t xml:space="preserve">         （签字或签章）</w:t>
            </w:r>
          </w:p>
        </w:tc>
      </w:tr>
      <w:tr w14:paraId="5EE74BAD">
        <w:tblPrEx>
          <w:tblCellMar>
            <w:top w:w="0" w:type="dxa"/>
            <w:left w:w="108" w:type="dxa"/>
            <w:bottom w:w="0" w:type="dxa"/>
            <w:right w:w="108" w:type="dxa"/>
          </w:tblCellMar>
        </w:tblPrEx>
        <w:trPr>
          <w:trHeight w:val="423" w:hRule="atLeast"/>
          <w:jc w:val="center"/>
        </w:trPr>
        <w:tc>
          <w:tcPr>
            <w:tcW w:w="4994" w:type="dxa"/>
            <w:noWrap w:val="0"/>
            <w:vAlign w:val="center"/>
          </w:tcPr>
          <w:p w14:paraId="08C3159E">
            <w:pPr>
              <w:spacing w:line="360" w:lineRule="auto"/>
              <w:jc w:val="left"/>
              <w:rPr>
                <w:rFonts w:hint="eastAsia"/>
                <w:color w:val="auto"/>
                <w:highlight w:val="none"/>
                <w:lang w:val="en-GB"/>
              </w:rPr>
            </w:pPr>
            <w:r>
              <w:rPr>
                <w:rFonts w:hint="eastAsia" w:ascii="Calibri"/>
                <w:color w:val="auto"/>
                <w:highlight w:val="none"/>
                <w:lang w:val="en-GB"/>
              </w:rPr>
              <w:t>身份证号码：</w:t>
            </w:r>
            <w:r>
              <w:rPr>
                <w:rFonts w:hint="eastAsia" w:ascii="Calibri"/>
                <w:color w:val="auto"/>
                <w:highlight w:val="none"/>
                <w:u w:val="single"/>
                <w:lang w:val="en-GB"/>
              </w:rPr>
              <w:t xml:space="preserve">                      </w:t>
            </w:r>
          </w:p>
        </w:tc>
        <w:tc>
          <w:tcPr>
            <w:tcW w:w="4496" w:type="dxa"/>
            <w:noWrap w:val="0"/>
            <w:vAlign w:val="center"/>
          </w:tcPr>
          <w:p w14:paraId="16739017">
            <w:pPr>
              <w:spacing w:line="360" w:lineRule="auto"/>
              <w:jc w:val="left"/>
              <w:rPr>
                <w:rFonts w:hint="eastAsia"/>
                <w:color w:val="auto"/>
                <w:highlight w:val="none"/>
                <w:lang w:val="en-GB"/>
              </w:rPr>
            </w:pPr>
            <w:r>
              <w:rPr>
                <w:rFonts w:hint="eastAsia" w:ascii="Calibri"/>
                <w:color w:val="auto"/>
                <w:highlight w:val="none"/>
                <w:lang w:val="en-GB"/>
              </w:rPr>
              <w:t>联系电话：</w:t>
            </w:r>
            <w:r>
              <w:rPr>
                <w:rFonts w:hint="eastAsia" w:ascii="Calibri"/>
                <w:color w:val="auto"/>
                <w:highlight w:val="none"/>
                <w:u w:val="single"/>
                <w:lang w:val="en-GB"/>
              </w:rPr>
              <w:t xml:space="preserve">                         </w:t>
            </w:r>
          </w:p>
        </w:tc>
      </w:tr>
      <w:tr w14:paraId="7024655D">
        <w:tblPrEx>
          <w:tblCellMar>
            <w:top w:w="0" w:type="dxa"/>
            <w:left w:w="108" w:type="dxa"/>
            <w:bottom w:w="0" w:type="dxa"/>
            <w:right w:w="108" w:type="dxa"/>
          </w:tblCellMar>
        </w:tblPrEx>
        <w:trPr>
          <w:trHeight w:val="423" w:hRule="atLeast"/>
          <w:jc w:val="center"/>
        </w:trPr>
        <w:tc>
          <w:tcPr>
            <w:tcW w:w="4994" w:type="dxa"/>
            <w:noWrap w:val="0"/>
            <w:vAlign w:val="center"/>
          </w:tcPr>
          <w:p w14:paraId="3C3CB5A2">
            <w:pPr>
              <w:spacing w:line="360" w:lineRule="auto"/>
              <w:jc w:val="left"/>
              <w:rPr>
                <w:rFonts w:hint="eastAsia"/>
                <w:color w:val="auto"/>
                <w:highlight w:val="none"/>
                <w:lang w:val="en-GB"/>
              </w:rPr>
            </w:pPr>
            <w:r>
              <w:rPr>
                <w:rFonts w:hint="eastAsia" w:ascii="Calibri"/>
                <w:color w:val="auto"/>
                <w:highlight w:val="none"/>
                <w:lang w:val="en-GB"/>
              </w:rPr>
              <w:t>职    务：</w:t>
            </w:r>
            <w:r>
              <w:rPr>
                <w:rFonts w:hint="eastAsia" w:ascii="Calibri"/>
                <w:color w:val="auto"/>
                <w:highlight w:val="none"/>
                <w:u w:val="single"/>
                <w:lang w:val="en-GB"/>
              </w:rPr>
              <w:t xml:space="preserve">                        </w:t>
            </w:r>
          </w:p>
        </w:tc>
        <w:tc>
          <w:tcPr>
            <w:tcW w:w="4496" w:type="dxa"/>
            <w:noWrap w:val="0"/>
            <w:vAlign w:val="center"/>
          </w:tcPr>
          <w:p w14:paraId="444F5CA2">
            <w:pPr>
              <w:spacing w:line="360" w:lineRule="auto"/>
              <w:jc w:val="left"/>
              <w:rPr>
                <w:rFonts w:hint="eastAsia"/>
                <w:color w:val="auto"/>
                <w:highlight w:val="none"/>
                <w:lang w:val="en-GB"/>
              </w:rPr>
            </w:pPr>
          </w:p>
        </w:tc>
      </w:tr>
      <w:tr w14:paraId="1A41B0F8">
        <w:tblPrEx>
          <w:tblCellMar>
            <w:top w:w="0" w:type="dxa"/>
            <w:left w:w="108" w:type="dxa"/>
            <w:bottom w:w="0" w:type="dxa"/>
            <w:right w:w="108" w:type="dxa"/>
          </w:tblCellMar>
        </w:tblPrEx>
        <w:trPr>
          <w:trHeight w:val="423" w:hRule="atLeast"/>
          <w:jc w:val="center"/>
        </w:trPr>
        <w:tc>
          <w:tcPr>
            <w:tcW w:w="4994" w:type="dxa"/>
            <w:noWrap w:val="0"/>
            <w:vAlign w:val="center"/>
          </w:tcPr>
          <w:p w14:paraId="09F66884">
            <w:pPr>
              <w:spacing w:line="360" w:lineRule="auto"/>
              <w:jc w:val="left"/>
              <w:rPr>
                <w:rFonts w:hint="eastAsia"/>
                <w:color w:val="auto"/>
                <w:highlight w:val="none"/>
                <w:lang w:val="en-GB"/>
              </w:rPr>
            </w:pPr>
            <w:r>
              <w:rPr>
                <w:rFonts w:hint="eastAsia" w:ascii="Calibri"/>
                <w:color w:val="auto"/>
                <w:highlight w:val="none"/>
                <w:lang w:val="en-GB"/>
              </w:rPr>
              <w:t>联系电话：</w:t>
            </w:r>
            <w:r>
              <w:rPr>
                <w:rFonts w:hint="eastAsia" w:ascii="Calibri"/>
                <w:color w:val="auto"/>
                <w:highlight w:val="none"/>
                <w:u w:val="single"/>
                <w:lang w:val="en-GB"/>
              </w:rPr>
              <w:t xml:space="preserve">                        </w:t>
            </w:r>
          </w:p>
        </w:tc>
        <w:tc>
          <w:tcPr>
            <w:tcW w:w="4496" w:type="dxa"/>
            <w:noWrap w:val="0"/>
            <w:vAlign w:val="center"/>
          </w:tcPr>
          <w:p w14:paraId="4FF8D869">
            <w:pPr>
              <w:spacing w:line="360" w:lineRule="auto"/>
              <w:jc w:val="left"/>
              <w:rPr>
                <w:rFonts w:hint="eastAsia"/>
                <w:color w:val="auto"/>
                <w:highlight w:val="none"/>
                <w:lang w:val="en-GB"/>
              </w:rPr>
            </w:pPr>
          </w:p>
        </w:tc>
      </w:tr>
      <w:tr w14:paraId="04CBB2A2">
        <w:tblPrEx>
          <w:tblCellMar>
            <w:top w:w="0" w:type="dxa"/>
            <w:left w:w="108" w:type="dxa"/>
            <w:bottom w:w="0" w:type="dxa"/>
            <w:right w:w="108" w:type="dxa"/>
          </w:tblCellMar>
        </w:tblPrEx>
        <w:trPr>
          <w:trHeight w:val="415" w:hRule="atLeast"/>
          <w:jc w:val="center"/>
        </w:trPr>
        <w:tc>
          <w:tcPr>
            <w:tcW w:w="4994" w:type="dxa"/>
            <w:noWrap w:val="0"/>
            <w:vAlign w:val="center"/>
          </w:tcPr>
          <w:p w14:paraId="64503187">
            <w:pPr>
              <w:spacing w:line="360" w:lineRule="auto"/>
              <w:jc w:val="left"/>
              <w:rPr>
                <w:rFonts w:hint="eastAsia"/>
                <w:color w:val="auto"/>
                <w:highlight w:val="none"/>
                <w:lang w:val="en-GB"/>
              </w:rPr>
            </w:pPr>
          </w:p>
        </w:tc>
        <w:tc>
          <w:tcPr>
            <w:tcW w:w="4496" w:type="dxa"/>
            <w:noWrap w:val="0"/>
            <w:vAlign w:val="center"/>
          </w:tcPr>
          <w:p w14:paraId="3DF74DE3">
            <w:pPr>
              <w:spacing w:line="360" w:lineRule="auto"/>
              <w:jc w:val="left"/>
              <w:rPr>
                <w:rFonts w:hint="eastAsia"/>
                <w:color w:val="auto"/>
                <w:highlight w:val="none"/>
                <w:lang w:val="en-GB"/>
              </w:rPr>
            </w:pPr>
            <w:r>
              <w:rPr>
                <w:rFonts w:hint="eastAsia" w:ascii="宋体" w:hAnsi="宋体"/>
                <w:color w:val="auto"/>
                <w:highlight w:val="none"/>
                <w:lang w:val="en-GB"/>
              </w:rPr>
              <w:t>签字生效日期：    年    月    日</w:t>
            </w:r>
          </w:p>
        </w:tc>
      </w:tr>
    </w:tbl>
    <w:p w14:paraId="238E6A5C">
      <w:pPr>
        <w:spacing w:line="360" w:lineRule="auto"/>
        <w:rPr>
          <w:rFonts w:ascii="宋体" w:hAnsi="宋体"/>
          <w:b/>
          <w:color w:val="auto"/>
          <w:highlight w:val="none"/>
        </w:rPr>
      </w:pPr>
      <w:r>
        <w:rPr>
          <w:rFonts w:hint="eastAsia" w:ascii="Calibri"/>
          <w:b/>
          <w:color w:val="auto"/>
          <w:highlight w:val="none"/>
          <w:lang w:val="en-GB"/>
        </w:rPr>
        <w:t>全权代表身份证复印件：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824"/>
      </w:tblGrid>
      <w:tr w14:paraId="4085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824" w:type="dxa"/>
            <w:noWrap w:val="0"/>
            <w:vAlign w:val="center"/>
          </w:tcPr>
          <w:p w14:paraId="300D506F">
            <w:pPr>
              <w:snapToGrid w:val="0"/>
              <w:spacing w:line="360" w:lineRule="auto"/>
              <w:jc w:val="center"/>
              <w:rPr>
                <w:rFonts w:hint="eastAsia"/>
                <w:color w:val="auto"/>
                <w:highlight w:val="none"/>
                <w:lang w:val="en-GB"/>
              </w:rPr>
            </w:pPr>
            <w:r>
              <w:rPr>
                <w:rFonts w:hint="eastAsia" w:ascii="Calibri"/>
                <w:color w:val="auto"/>
                <w:highlight w:val="none"/>
                <w:lang w:val="en-GB"/>
              </w:rPr>
              <w:t>全权代表</w:t>
            </w:r>
          </w:p>
          <w:p w14:paraId="6DDBFA41">
            <w:pPr>
              <w:snapToGrid w:val="0"/>
              <w:spacing w:line="360" w:lineRule="auto"/>
              <w:jc w:val="center"/>
              <w:rPr>
                <w:rFonts w:hint="eastAsia"/>
                <w:color w:val="auto"/>
                <w:highlight w:val="none"/>
                <w:lang w:val="en-GB"/>
              </w:rPr>
            </w:pPr>
            <w:r>
              <w:rPr>
                <w:rFonts w:hint="eastAsia" w:ascii="Calibri"/>
                <w:color w:val="auto"/>
                <w:highlight w:val="none"/>
                <w:lang w:val="en-GB"/>
              </w:rPr>
              <w:t>第二代居民身份证复印件粘贴处</w:t>
            </w:r>
          </w:p>
          <w:p w14:paraId="0E285D79">
            <w:pPr>
              <w:jc w:val="center"/>
              <w:rPr>
                <w:rFonts w:hint="eastAsia"/>
                <w:color w:val="auto"/>
                <w:highlight w:val="none"/>
                <w:lang w:val="en-GB"/>
              </w:rPr>
            </w:pPr>
            <w:r>
              <w:rPr>
                <w:rFonts w:hint="eastAsia" w:ascii="Calibri"/>
                <w:color w:val="auto"/>
                <w:highlight w:val="none"/>
                <w:lang w:val="en-GB"/>
              </w:rPr>
              <w:t>（正面）</w:t>
            </w:r>
          </w:p>
          <w:p w14:paraId="374385D0">
            <w:pPr>
              <w:jc w:val="center"/>
              <w:rPr>
                <w:rFonts w:hint="eastAsia"/>
                <w:color w:val="auto"/>
                <w:highlight w:val="none"/>
                <w:lang w:val="en-GB"/>
              </w:rPr>
            </w:pPr>
          </w:p>
          <w:p w14:paraId="72EE5E2B">
            <w:pPr>
              <w:jc w:val="left"/>
              <w:rPr>
                <w:rFonts w:hint="eastAsia"/>
                <w:color w:val="auto"/>
                <w:sz w:val="22"/>
                <w:highlight w:val="none"/>
                <w:lang w:val="en-GB"/>
              </w:rPr>
            </w:pPr>
            <w:r>
              <w:rPr>
                <w:rFonts w:hint="eastAsia" w:ascii="Calibri"/>
                <w:color w:val="auto"/>
                <w:sz w:val="22"/>
                <w:highlight w:val="none"/>
                <w:lang w:val="en-GB"/>
              </w:rPr>
              <w:t>可选择以下方式贴上（任意一种）：</w:t>
            </w:r>
          </w:p>
          <w:p w14:paraId="442A4B2D">
            <w:pPr>
              <w:jc w:val="left"/>
              <w:rPr>
                <w:rFonts w:hint="eastAsia"/>
                <w:color w:val="auto"/>
                <w:sz w:val="22"/>
                <w:highlight w:val="none"/>
                <w:lang w:val="en-GB"/>
              </w:rPr>
            </w:pPr>
            <w:r>
              <w:rPr>
                <w:rFonts w:hint="eastAsia" w:ascii="Calibri"/>
                <w:color w:val="auto"/>
                <w:sz w:val="22"/>
                <w:highlight w:val="none"/>
                <w:lang w:val="en-GB"/>
              </w:rPr>
              <w:t>1、以扫描件、电子版等方式贴在此处，再打印；</w:t>
            </w:r>
          </w:p>
          <w:p w14:paraId="724798CB">
            <w:pPr>
              <w:jc w:val="left"/>
              <w:rPr>
                <w:rFonts w:hint="eastAsia"/>
                <w:color w:val="auto"/>
                <w:sz w:val="22"/>
                <w:highlight w:val="none"/>
                <w:lang w:val="en-GB"/>
              </w:rPr>
            </w:pPr>
            <w:r>
              <w:rPr>
                <w:rFonts w:hint="eastAsia" w:ascii="Calibri"/>
                <w:color w:val="auto"/>
                <w:sz w:val="22"/>
                <w:highlight w:val="none"/>
                <w:lang w:val="en-GB"/>
              </w:rPr>
              <w:t>2、剪下身份证复印件，粘贴在此处；</w:t>
            </w:r>
          </w:p>
          <w:p w14:paraId="3C1D65E6">
            <w:pPr>
              <w:jc w:val="left"/>
              <w:rPr>
                <w:rFonts w:hint="eastAsia"/>
                <w:color w:val="auto"/>
                <w:sz w:val="22"/>
                <w:highlight w:val="none"/>
                <w:lang w:val="en-GB"/>
              </w:rPr>
            </w:pPr>
            <w:r>
              <w:rPr>
                <w:rFonts w:hint="eastAsia" w:ascii="Calibri"/>
                <w:color w:val="auto"/>
                <w:sz w:val="22"/>
                <w:highlight w:val="none"/>
                <w:lang w:val="en-GB"/>
              </w:rPr>
              <w:t>3、另付页（复印件或扫描件，加盖公章）。</w:t>
            </w:r>
          </w:p>
          <w:p w14:paraId="67C0C96E">
            <w:pPr>
              <w:jc w:val="left"/>
              <w:rPr>
                <w:rFonts w:ascii="宋体" w:hAnsi="宋体"/>
                <w:color w:val="auto"/>
                <w:highlight w:val="none"/>
              </w:rPr>
            </w:pPr>
            <w:r>
              <w:rPr>
                <w:rFonts w:hint="eastAsia" w:ascii="Calibri"/>
                <w:color w:val="auto"/>
                <w:sz w:val="22"/>
                <w:highlight w:val="none"/>
                <w:lang w:val="en-GB"/>
              </w:rPr>
              <w:t>注：粘贴时可覆盖线框。</w:t>
            </w:r>
          </w:p>
        </w:tc>
        <w:tc>
          <w:tcPr>
            <w:tcW w:w="4824" w:type="dxa"/>
            <w:noWrap w:val="0"/>
            <w:vAlign w:val="center"/>
          </w:tcPr>
          <w:p w14:paraId="484BA935">
            <w:pPr>
              <w:snapToGrid w:val="0"/>
              <w:spacing w:line="360" w:lineRule="auto"/>
              <w:jc w:val="center"/>
              <w:rPr>
                <w:rFonts w:hint="eastAsia"/>
                <w:color w:val="auto"/>
                <w:highlight w:val="none"/>
                <w:lang w:val="en-GB"/>
              </w:rPr>
            </w:pPr>
            <w:r>
              <w:rPr>
                <w:rFonts w:hint="eastAsia" w:ascii="Calibri"/>
                <w:color w:val="auto"/>
                <w:highlight w:val="none"/>
                <w:lang w:val="en-GB"/>
              </w:rPr>
              <w:t>全权代表</w:t>
            </w:r>
          </w:p>
          <w:p w14:paraId="72FBED91">
            <w:pPr>
              <w:snapToGrid w:val="0"/>
              <w:spacing w:line="360" w:lineRule="auto"/>
              <w:jc w:val="center"/>
              <w:rPr>
                <w:rFonts w:hint="eastAsia"/>
                <w:color w:val="auto"/>
                <w:highlight w:val="none"/>
                <w:lang w:val="en-GB"/>
              </w:rPr>
            </w:pPr>
            <w:r>
              <w:rPr>
                <w:rFonts w:hint="eastAsia" w:ascii="Calibri"/>
                <w:color w:val="auto"/>
                <w:highlight w:val="none"/>
                <w:lang w:val="en-GB"/>
              </w:rPr>
              <w:t>第二代居民身份证复印件粘贴处</w:t>
            </w:r>
          </w:p>
          <w:p w14:paraId="3E1CF24A">
            <w:pPr>
              <w:jc w:val="center"/>
              <w:rPr>
                <w:rFonts w:hint="eastAsia"/>
                <w:color w:val="auto"/>
                <w:highlight w:val="none"/>
                <w:lang w:val="en-GB"/>
              </w:rPr>
            </w:pPr>
            <w:r>
              <w:rPr>
                <w:rFonts w:hint="eastAsia" w:ascii="Calibri"/>
                <w:color w:val="auto"/>
                <w:highlight w:val="none"/>
                <w:lang w:val="en-GB"/>
              </w:rPr>
              <w:t>（背面）</w:t>
            </w:r>
          </w:p>
          <w:p w14:paraId="090AF9EC">
            <w:pPr>
              <w:jc w:val="center"/>
              <w:rPr>
                <w:rFonts w:hint="eastAsia"/>
                <w:color w:val="auto"/>
                <w:highlight w:val="none"/>
                <w:lang w:val="en-GB"/>
              </w:rPr>
            </w:pPr>
          </w:p>
          <w:p w14:paraId="2668B99C">
            <w:pPr>
              <w:jc w:val="left"/>
              <w:rPr>
                <w:rFonts w:hint="eastAsia"/>
                <w:color w:val="auto"/>
                <w:sz w:val="22"/>
                <w:highlight w:val="none"/>
                <w:lang w:val="en-GB"/>
              </w:rPr>
            </w:pPr>
            <w:r>
              <w:rPr>
                <w:rFonts w:hint="eastAsia" w:ascii="Calibri"/>
                <w:color w:val="auto"/>
                <w:sz w:val="22"/>
                <w:highlight w:val="none"/>
                <w:lang w:val="en-GB"/>
              </w:rPr>
              <w:t xml:space="preserve">可选择以下方式贴上（任意一种）： </w:t>
            </w:r>
          </w:p>
          <w:p w14:paraId="165DAFFA">
            <w:pPr>
              <w:jc w:val="left"/>
              <w:rPr>
                <w:rFonts w:hint="eastAsia"/>
                <w:color w:val="auto"/>
                <w:sz w:val="22"/>
                <w:highlight w:val="none"/>
                <w:lang w:val="en-GB"/>
              </w:rPr>
            </w:pPr>
            <w:r>
              <w:rPr>
                <w:rFonts w:hint="eastAsia" w:ascii="Calibri"/>
                <w:color w:val="auto"/>
                <w:sz w:val="22"/>
                <w:highlight w:val="none"/>
                <w:lang w:val="en-GB"/>
              </w:rPr>
              <w:t>1、以扫描件、电子版等方式贴在此处，再打印；</w:t>
            </w:r>
          </w:p>
          <w:p w14:paraId="6B2E0436">
            <w:pPr>
              <w:jc w:val="left"/>
              <w:rPr>
                <w:rFonts w:hint="eastAsia"/>
                <w:color w:val="auto"/>
                <w:sz w:val="22"/>
                <w:highlight w:val="none"/>
                <w:lang w:val="en-GB"/>
              </w:rPr>
            </w:pPr>
            <w:r>
              <w:rPr>
                <w:rFonts w:hint="eastAsia" w:ascii="Calibri"/>
                <w:color w:val="auto"/>
                <w:sz w:val="22"/>
                <w:highlight w:val="none"/>
                <w:lang w:val="en-GB"/>
              </w:rPr>
              <w:t>2、剪下身份证复印件，粘贴在此处；</w:t>
            </w:r>
          </w:p>
          <w:p w14:paraId="729567A7">
            <w:pPr>
              <w:jc w:val="left"/>
              <w:rPr>
                <w:rFonts w:hint="eastAsia"/>
                <w:color w:val="auto"/>
                <w:sz w:val="22"/>
                <w:highlight w:val="none"/>
                <w:lang w:val="en-GB"/>
              </w:rPr>
            </w:pPr>
            <w:r>
              <w:rPr>
                <w:rFonts w:hint="eastAsia" w:ascii="Calibri"/>
                <w:color w:val="auto"/>
                <w:sz w:val="22"/>
                <w:highlight w:val="none"/>
                <w:lang w:val="en-GB"/>
              </w:rPr>
              <w:t>3、另付页（复印件或扫描件，加盖公章）。</w:t>
            </w:r>
          </w:p>
          <w:p w14:paraId="209F1E3B">
            <w:pPr>
              <w:jc w:val="left"/>
              <w:rPr>
                <w:rFonts w:ascii="宋体" w:hAnsi="宋体"/>
                <w:color w:val="auto"/>
                <w:highlight w:val="none"/>
              </w:rPr>
            </w:pPr>
            <w:r>
              <w:rPr>
                <w:rFonts w:hint="eastAsia" w:ascii="Calibri"/>
                <w:color w:val="auto"/>
                <w:sz w:val="22"/>
                <w:highlight w:val="none"/>
                <w:lang w:val="en-GB"/>
              </w:rPr>
              <w:t>注：粘贴时可覆盖线框。</w:t>
            </w:r>
          </w:p>
        </w:tc>
      </w:tr>
    </w:tbl>
    <w:p w14:paraId="6AAD3E93">
      <w:pPr>
        <w:ind w:left="738" w:hanging="738" w:hangingChars="350"/>
        <w:rPr>
          <w:rFonts w:ascii="宋体" w:hAnsi="宋体"/>
          <w:b/>
          <w:color w:val="auto"/>
          <w:sz w:val="21"/>
          <w:szCs w:val="21"/>
          <w:highlight w:val="none"/>
          <w:u w:val="double"/>
        </w:rPr>
      </w:pPr>
    </w:p>
    <w:p w14:paraId="04720830">
      <w:pPr>
        <w:ind w:left="738" w:hanging="738" w:hangingChars="350"/>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说明及要求：</w:t>
      </w:r>
    </w:p>
    <w:p w14:paraId="129FCCC5">
      <w:pPr>
        <w:rPr>
          <w:rFonts w:hint="eastAsia" w:ascii="宋体" w:hAnsi="宋体"/>
          <w:color w:val="auto"/>
          <w:sz w:val="21"/>
          <w:szCs w:val="21"/>
          <w:highlight w:val="none"/>
        </w:rPr>
      </w:pPr>
      <w:r>
        <w:rPr>
          <w:rFonts w:hint="eastAsia" w:ascii="宋体" w:hAnsi="宋体"/>
          <w:color w:val="auto"/>
          <w:sz w:val="21"/>
          <w:szCs w:val="21"/>
          <w:highlight w:val="none"/>
        </w:rPr>
        <w:t>1.   本授权书内容不得擅自修改；</w:t>
      </w:r>
    </w:p>
    <w:p w14:paraId="51481532">
      <w:pPr>
        <w:rPr>
          <w:rFonts w:ascii="宋体" w:hAnsi="宋体"/>
          <w:color w:val="auto"/>
          <w:sz w:val="21"/>
          <w:szCs w:val="21"/>
          <w:highlight w:val="none"/>
        </w:rPr>
      </w:pPr>
      <w:r>
        <w:rPr>
          <w:rFonts w:hint="eastAsia" w:ascii="宋体" w:hAnsi="宋体"/>
          <w:color w:val="auto"/>
          <w:sz w:val="21"/>
          <w:szCs w:val="21"/>
          <w:highlight w:val="none"/>
        </w:rPr>
        <w:t>2.   供应商填写的内容必须真实、清楚、无涂改，全权代表无权转委；</w:t>
      </w:r>
    </w:p>
    <w:p w14:paraId="72149375">
      <w:pPr>
        <w:rPr>
          <w:rFonts w:ascii="宋体" w:hAnsi="宋体"/>
          <w:color w:val="auto"/>
          <w:sz w:val="21"/>
          <w:szCs w:val="21"/>
          <w:highlight w:val="none"/>
        </w:rPr>
      </w:pPr>
      <w:r>
        <w:rPr>
          <w:rFonts w:hint="eastAsia" w:ascii="宋体" w:hAnsi="宋体"/>
          <w:color w:val="auto"/>
          <w:sz w:val="21"/>
          <w:szCs w:val="21"/>
          <w:highlight w:val="none"/>
        </w:rPr>
        <w:t>3.   本授权书中的全权代表描述不一致者，均</w:t>
      </w:r>
      <w:r>
        <w:rPr>
          <w:rFonts w:hint="eastAsia" w:ascii="宋体" w:hAnsi="宋体"/>
          <w:color w:val="auto"/>
          <w:sz w:val="21"/>
          <w:szCs w:val="21"/>
          <w:highlight w:val="none"/>
          <w:lang w:val="en-US" w:eastAsia="zh-CN"/>
        </w:rPr>
        <w:t>以</w:t>
      </w:r>
      <w:r>
        <w:rPr>
          <w:rFonts w:hint="eastAsia" w:ascii="宋体" w:hAnsi="宋体"/>
          <w:color w:val="auto"/>
          <w:sz w:val="21"/>
          <w:szCs w:val="21"/>
          <w:highlight w:val="none"/>
        </w:rPr>
        <w:t>“全权代表身份证复印件”中的信息为准。</w:t>
      </w:r>
    </w:p>
    <w:p w14:paraId="7226DB11">
      <w:pPr>
        <w:widowControl w:val="0"/>
        <w:spacing w:line="360" w:lineRule="auto"/>
        <w:ind w:firstLine="0" w:firstLineChars="0"/>
        <w:jc w:val="both"/>
        <w:rPr>
          <w:rFonts w:hint="eastAsia" w:ascii="宋体" w:hAnsi="宋体" w:eastAsia="宋体" w:cs="Times New Roman"/>
          <w:color w:val="auto"/>
          <w:kern w:val="2"/>
          <w:sz w:val="24"/>
          <w:szCs w:val="20"/>
          <w:highlight w:val="none"/>
          <w:lang w:val="en-US" w:eastAsia="zh-CN" w:bidi="ar-SA"/>
        </w:rPr>
      </w:pPr>
    </w:p>
    <w:p w14:paraId="13AEC742">
      <w:pPr>
        <w:rPr>
          <w:rFonts w:ascii="宋体" w:hAnsi="宋体"/>
          <w:color w:val="auto"/>
          <w:highlight w:val="none"/>
        </w:rPr>
      </w:pPr>
      <w:r>
        <w:rPr>
          <w:rFonts w:hint="eastAsia" w:ascii="宋体" w:hAnsi="宋体" w:cs="宋体"/>
          <w:color w:val="auto"/>
          <w:highlight w:val="none"/>
        </w:rPr>
        <w:br w:type="page"/>
      </w:r>
    </w:p>
    <w:p w14:paraId="2ADB525F">
      <w:pPr>
        <w:rPr>
          <w:rFonts w:ascii="宋体" w:hAnsi="宋体"/>
          <w:color w:val="auto"/>
          <w:highlight w:val="none"/>
        </w:rPr>
      </w:pPr>
    </w:p>
    <w:p w14:paraId="76DF589E">
      <w:pPr>
        <w:rPr>
          <w:rFonts w:ascii="宋体" w:hAnsi="宋体"/>
          <w:color w:val="auto"/>
          <w:highlight w:val="none"/>
        </w:rPr>
      </w:pPr>
    </w:p>
    <w:p w14:paraId="6F329448">
      <w:pPr>
        <w:rPr>
          <w:rFonts w:ascii="宋体" w:hAnsi="宋体"/>
          <w:color w:val="auto"/>
          <w:highlight w:val="none"/>
        </w:rPr>
      </w:pPr>
    </w:p>
    <w:p w14:paraId="18DB7740">
      <w:pPr>
        <w:rPr>
          <w:rFonts w:ascii="宋体" w:hAnsi="宋体"/>
          <w:color w:val="auto"/>
          <w:highlight w:val="none"/>
        </w:rPr>
      </w:pPr>
    </w:p>
    <w:p w14:paraId="4A8AD7E2">
      <w:pPr>
        <w:rPr>
          <w:rFonts w:ascii="宋体" w:hAnsi="宋体"/>
          <w:color w:val="auto"/>
          <w:highlight w:val="none"/>
        </w:rPr>
      </w:pPr>
    </w:p>
    <w:p w14:paraId="45AB26C4">
      <w:pPr>
        <w:rPr>
          <w:rFonts w:ascii="宋体" w:hAnsi="宋体"/>
          <w:color w:val="auto"/>
          <w:highlight w:val="none"/>
        </w:rPr>
      </w:pPr>
    </w:p>
    <w:p w14:paraId="597A4086">
      <w:pPr>
        <w:rPr>
          <w:rFonts w:ascii="宋体" w:hAnsi="宋体"/>
          <w:color w:val="auto"/>
          <w:highlight w:val="none"/>
        </w:rPr>
      </w:pPr>
    </w:p>
    <w:p w14:paraId="4072E631">
      <w:pPr>
        <w:rPr>
          <w:rFonts w:ascii="宋体" w:hAnsi="宋体"/>
          <w:color w:val="auto"/>
          <w:highlight w:val="none"/>
        </w:rPr>
      </w:pPr>
    </w:p>
    <w:p w14:paraId="79560776">
      <w:pPr>
        <w:rPr>
          <w:rFonts w:ascii="宋体" w:hAnsi="宋体"/>
          <w:color w:val="auto"/>
          <w:highlight w:val="none"/>
        </w:rPr>
      </w:pPr>
    </w:p>
    <w:p w14:paraId="4BDD423B">
      <w:pPr>
        <w:rPr>
          <w:rFonts w:ascii="宋体" w:hAnsi="宋体"/>
          <w:color w:val="auto"/>
          <w:highlight w:val="none"/>
        </w:rPr>
      </w:pPr>
    </w:p>
    <w:p w14:paraId="3E83EAFA">
      <w:pPr>
        <w:rPr>
          <w:rFonts w:ascii="宋体" w:hAnsi="宋体"/>
          <w:color w:val="auto"/>
          <w:highlight w:val="none"/>
        </w:rPr>
      </w:pPr>
    </w:p>
    <w:p w14:paraId="676161BD">
      <w:pPr>
        <w:rPr>
          <w:rFonts w:ascii="宋体" w:hAnsi="宋体"/>
          <w:color w:val="auto"/>
          <w:highlight w:val="none"/>
        </w:rPr>
      </w:pPr>
    </w:p>
    <w:p w14:paraId="67E32F9B">
      <w:pPr>
        <w:rPr>
          <w:rFonts w:ascii="宋体" w:hAnsi="宋体"/>
          <w:color w:val="auto"/>
          <w:highlight w:val="none"/>
        </w:rPr>
      </w:pPr>
    </w:p>
    <w:p w14:paraId="478967BF">
      <w:pPr>
        <w:rPr>
          <w:rFonts w:ascii="宋体" w:hAnsi="宋体"/>
          <w:color w:val="auto"/>
          <w:highlight w:val="none"/>
        </w:rPr>
      </w:pPr>
    </w:p>
    <w:p w14:paraId="78E51C71">
      <w:pPr>
        <w:rPr>
          <w:rFonts w:ascii="宋体" w:hAnsi="宋体"/>
          <w:color w:val="auto"/>
          <w:highlight w:val="none"/>
        </w:rPr>
      </w:pPr>
    </w:p>
    <w:p w14:paraId="588CD2F9">
      <w:pPr>
        <w:rPr>
          <w:rFonts w:ascii="宋体" w:hAnsi="宋体"/>
          <w:color w:val="auto"/>
          <w:highlight w:val="none"/>
        </w:rPr>
      </w:pPr>
    </w:p>
    <w:p w14:paraId="3F60AD55">
      <w:pPr>
        <w:rPr>
          <w:rFonts w:ascii="宋体" w:hAnsi="宋体"/>
          <w:color w:val="auto"/>
          <w:highlight w:val="none"/>
        </w:rPr>
      </w:pPr>
    </w:p>
    <w:p w14:paraId="4B5A814B">
      <w:pPr>
        <w:rPr>
          <w:rFonts w:ascii="宋体" w:hAnsi="宋体"/>
          <w:color w:val="auto"/>
          <w:highlight w:val="none"/>
        </w:rPr>
      </w:pPr>
    </w:p>
    <w:p w14:paraId="4D633482">
      <w:pPr>
        <w:rPr>
          <w:rFonts w:ascii="宋体" w:hAnsi="宋体"/>
          <w:color w:val="auto"/>
          <w:highlight w:val="none"/>
        </w:rPr>
      </w:pPr>
    </w:p>
    <w:p w14:paraId="2028B12B">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bookmarkStart w:id="124" w:name="_Toc14878"/>
      <w:r>
        <w:rPr>
          <w:rFonts w:hint="eastAsia" w:ascii="Cambria" w:hAnsi="Cambria" w:eastAsia="宋体" w:cs="Times New Roman"/>
          <w:b/>
          <w:bCs/>
          <w:color w:val="auto"/>
          <w:kern w:val="2"/>
          <w:sz w:val="52"/>
          <w:szCs w:val="32"/>
          <w:highlight w:val="none"/>
          <w:lang w:val="en-US" w:eastAsia="zh-CN" w:bidi="ar-SA"/>
        </w:rPr>
        <w:t>第四章  商务部分</w:t>
      </w:r>
      <w:bookmarkEnd w:id="124"/>
    </w:p>
    <w:p w14:paraId="733D6FEB">
      <w:pPr>
        <w:spacing w:line="360" w:lineRule="auto"/>
        <w:rPr>
          <w:rFonts w:hint="eastAsia" w:ascii="宋体" w:hAnsi="宋体"/>
          <w:b/>
          <w:color w:val="auto"/>
          <w:highlight w:val="none"/>
        </w:rPr>
      </w:pPr>
    </w:p>
    <w:p w14:paraId="7FE8124E">
      <w:pPr>
        <w:rPr>
          <w:rFonts w:ascii="宋体" w:hAnsi="宋体"/>
          <w:color w:val="auto"/>
          <w:highlight w:val="none"/>
        </w:rPr>
      </w:pPr>
      <w:r>
        <w:rPr>
          <w:rFonts w:ascii="宋体" w:hAnsi="宋体"/>
          <w:color w:val="auto"/>
          <w:highlight w:val="none"/>
        </w:rPr>
        <w:br w:type="page"/>
      </w:r>
    </w:p>
    <w:p w14:paraId="12D69E81">
      <w:pPr>
        <w:pStyle w:val="4"/>
        <w:spacing w:after="156" w:afterLines="50"/>
        <w:jc w:val="center"/>
        <w:rPr>
          <w:color w:val="auto"/>
          <w:sz w:val="32"/>
          <w:highlight w:val="none"/>
        </w:rPr>
      </w:pPr>
      <w:r>
        <w:rPr>
          <w:rFonts w:hint="eastAsia"/>
          <w:color w:val="auto"/>
          <w:sz w:val="32"/>
          <w:highlight w:val="none"/>
        </w:rPr>
        <w:t>4</w:t>
      </w:r>
      <w:r>
        <w:rPr>
          <w:color w:val="auto"/>
          <w:sz w:val="32"/>
          <w:highlight w:val="none"/>
        </w:rPr>
        <w:t xml:space="preserve">.1 </w:t>
      </w:r>
      <w:r>
        <w:rPr>
          <w:rFonts w:hint="eastAsia"/>
          <w:color w:val="auto"/>
          <w:sz w:val="32"/>
          <w:highlight w:val="none"/>
        </w:rPr>
        <w:t>商务条款响应表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395"/>
        <w:gridCol w:w="1281"/>
      </w:tblGrid>
      <w:tr w14:paraId="20CC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08" w:type="dxa"/>
            <w:gridSpan w:val="3"/>
            <w:shd w:val="clear" w:color="auto" w:fill="F2F2F2"/>
            <w:noWrap w:val="0"/>
            <w:vAlign w:val="center"/>
          </w:tcPr>
          <w:p w14:paraId="71B40654">
            <w:pPr>
              <w:keepNext w:val="0"/>
              <w:widowControl w:val="0"/>
              <w:adjustRightInd/>
              <w:spacing w:before="0" w:after="0" w:line="300" w:lineRule="auto"/>
              <w:jc w:val="left"/>
              <w:textAlignment w:val="auto"/>
              <w:rPr>
                <w:rFonts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一、商务条款响应情况</w:t>
            </w:r>
          </w:p>
        </w:tc>
      </w:tr>
      <w:tr w14:paraId="1219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2" w:type="dxa"/>
            <w:shd w:val="clear" w:color="auto" w:fill="F2F2F2"/>
            <w:noWrap w:val="0"/>
            <w:vAlign w:val="center"/>
          </w:tcPr>
          <w:p w14:paraId="11BE8941">
            <w:pPr>
              <w:spacing w:line="300" w:lineRule="auto"/>
              <w:jc w:val="center"/>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7395" w:type="dxa"/>
            <w:shd w:val="clear" w:color="auto" w:fill="F2F2F2"/>
            <w:noWrap w:val="0"/>
            <w:vAlign w:val="center"/>
          </w:tcPr>
          <w:p w14:paraId="4839AEED">
            <w:pPr>
              <w:spacing w:line="300" w:lineRule="auto"/>
              <w:jc w:val="center"/>
              <w:rPr>
                <w:rFonts w:ascii="宋体" w:hAnsi="宋体"/>
                <w:b/>
                <w:bCs/>
                <w:color w:val="auto"/>
                <w:sz w:val="21"/>
                <w:szCs w:val="21"/>
                <w:highlight w:val="none"/>
              </w:rPr>
            </w:pPr>
            <w:r>
              <w:rPr>
                <w:rFonts w:hint="eastAsia" w:ascii="宋体" w:hAnsi="宋体"/>
                <w:b/>
                <w:bCs/>
                <w:color w:val="auto"/>
                <w:sz w:val="21"/>
                <w:szCs w:val="21"/>
                <w:highlight w:val="none"/>
              </w:rPr>
              <w:t>条款要求</w:t>
            </w:r>
          </w:p>
        </w:tc>
        <w:tc>
          <w:tcPr>
            <w:tcW w:w="1281" w:type="dxa"/>
            <w:shd w:val="clear" w:color="auto" w:fill="F2F2F2"/>
            <w:noWrap w:val="0"/>
            <w:vAlign w:val="center"/>
          </w:tcPr>
          <w:p w14:paraId="1936EB3F">
            <w:pPr>
              <w:spacing w:line="300" w:lineRule="auto"/>
              <w:jc w:val="center"/>
              <w:rPr>
                <w:rFonts w:ascii="宋体" w:hAnsi="宋体"/>
                <w:b/>
                <w:bCs/>
                <w:color w:val="auto"/>
                <w:sz w:val="21"/>
                <w:szCs w:val="21"/>
                <w:highlight w:val="none"/>
              </w:rPr>
            </w:pPr>
            <w:r>
              <w:rPr>
                <w:rFonts w:hint="eastAsia" w:ascii="宋体" w:hAnsi="宋体"/>
                <w:b/>
                <w:bCs/>
                <w:color w:val="auto"/>
                <w:sz w:val="21"/>
                <w:szCs w:val="21"/>
                <w:highlight w:val="none"/>
              </w:rPr>
              <w:t>是否响应</w:t>
            </w:r>
          </w:p>
        </w:tc>
      </w:tr>
      <w:tr w14:paraId="58C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0E8BB2B9">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1</w:t>
            </w:r>
          </w:p>
        </w:tc>
        <w:tc>
          <w:tcPr>
            <w:tcW w:w="7395" w:type="dxa"/>
            <w:noWrap w:val="0"/>
            <w:vAlign w:val="center"/>
          </w:tcPr>
          <w:p w14:paraId="3AE8413D">
            <w:pPr>
              <w:spacing w:line="300" w:lineRule="auto"/>
              <w:rPr>
                <w:rFonts w:hint="eastAsia" w:ascii="宋体" w:hAnsi="宋体"/>
                <w:color w:val="auto"/>
                <w:sz w:val="21"/>
                <w:szCs w:val="21"/>
                <w:highlight w:val="none"/>
              </w:rPr>
            </w:pPr>
            <w:r>
              <w:rPr>
                <w:rFonts w:hint="eastAsia" w:ascii="宋体" w:hAnsi="宋体"/>
                <w:color w:val="auto"/>
                <w:sz w:val="21"/>
                <w:szCs w:val="21"/>
                <w:highlight w:val="none"/>
              </w:rPr>
              <w:t>完全理解并接受对合格供应商、合格的产品、工程和服务要求</w:t>
            </w:r>
          </w:p>
        </w:tc>
        <w:tc>
          <w:tcPr>
            <w:tcW w:w="1281" w:type="dxa"/>
            <w:noWrap w:val="0"/>
            <w:vAlign w:val="center"/>
          </w:tcPr>
          <w:p w14:paraId="5413AA9D">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09D5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3587A354">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2</w:t>
            </w:r>
          </w:p>
        </w:tc>
        <w:tc>
          <w:tcPr>
            <w:tcW w:w="7395" w:type="dxa"/>
            <w:noWrap w:val="0"/>
            <w:vAlign w:val="center"/>
          </w:tcPr>
          <w:p w14:paraId="71D957FA">
            <w:pPr>
              <w:spacing w:line="300" w:lineRule="auto"/>
              <w:rPr>
                <w:rFonts w:ascii="宋体" w:hAnsi="宋体"/>
                <w:color w:val="auto"/>
                <w:sz w:val="21"/>
                <w:szCs w:val="21"/>
                <w:highlight w:val="none"/>
              </w:rPr>
            </w:pPr>
            <w:r>
              <w:rPr>
                <w:rFonts w:hint="eastAsia" w:ascii="宋体" w:hAnsi="宋体"/>
                <w:color w:val="auto"/>
                <w:sz w:val="21"/>
                <w:szCs w:val="21"/>
                <w:highlight w:val="none"/>
              </w:rPr>
              <w:t>完全理解并接受对供应商的各项须知、规约要求和责任义务</w:t>
            </w:r>
          </w:p>
        </w:tc>
        <w:tc>
          <w:tcPr>
            <w:tcW w:w="1281" w:type="dxa"/>
            <w:noWrap w:val="0"/>
            <w:vAlign w:val="center"/>
          </w:tcPr>
          <w:p w14:paraId="002F63B5">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367D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3019A931">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3</w:t>
            </w:r>
          </w:p>
        </w:tc>
        <w:tc>
          <w:tcPr>
            <w:tcW w:w="7395" w:type="dxa"/>
            <w:noWrap w:val="0"/>
            <w:vAlign w:val="center"/>
          </w:tcPr>
          <w:p w14:paraId="00DDC269">
            <w:pPr>
              <w:spacing w:line="300" w:lineRule="auto"/>
              <w:rPr>
                <w:rFonts w:hint="eastAsia" w:ascii="宋体" w:hAnsi="宋体"/>
                <w:b/>
                <w:color w:val="auto"/>
                <w:sz w:val="21"/>
                <w:szCs w:val="21"/>
                <w:highlight w:val="none"/>
              </w:rPr>
            </w:pPr>
            <w:r>
              <w:rPr>
                <w:rFonts w:hint="eastAsia" w:ascii="宋体" w:hAnsi="宋体"/>
                <w:b/>
                <w:color w:val="auto"/>
                <w:sz w:val="21"/>
                <w:szCs w:val="21"/>
                <w:highlight w:val="none"/>
              </w:rPr>
              <w:t>同意接受合同范本所列述的各项条款</w:t>
            </w:r>
          </w:p>
        </w:tc>
        <w:tc>
          <w:tcPr>
            <w:tcW w:w="1281" w:type="dxa"/>
            <w:noWrap w:val="0"/>
            <w:vAlign w:val="center"/>
          </w:tcPr>
          <w:p w14:paraId="3A8C499B">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207B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0EC0629C">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4</w:t>
            </w:r>
          </w:p>
        </w:tc>
        <w:tc>
          <w:tcPr>
            <w:tcW w:w="7395" w:type="dxa"/>
            <w:noWrap w:val="0"/>
            <w:vAlign w:val="center"/>
          </w:tcPr>
          <w:p w14:paraId="0AB56ECB">
            <w:pPr>
              <w:spacing w:line="300" w:lineRule="auto"/>
              <w:rPr>
                <w:rFonts w:hint="eastAsia" w:ascii="宋体" w:hAnsi="宋体"/>
                <w:color w:val="auto"/>
                <w:sz w:val="21"/>
                <w:szCs w:val="21"/>
                <w:highlight w:val="none"/>
              </w:rPr>
            </w:pPr>
            <w:r>
              <w:rPr>
                <w:rFonts w:hint="eastAsia" w:ascii="宋体" w:hAnsi="宋体"/>
                <w:color w:val="auto"/>
                <w:sz w:val="21"/>
                <w:szCs w:val="21"/>
                <w:highlight w:val="none"/>
              </w:rPr>
              <w:t>同意按本项目要求缴付相关款项</w:t>
            </w:r>
          </w:p>
        </w:tc>
        <w:tc>
          <w:tcPr>
            <w:tcW w:w="1281" w:type="dxa"/>
            <w:noWrap w:val="0"/>
            <w:vAlign w:val="center"/>
          </w:tcPr>
          <w:p w14:paraId="555E0138">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547E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22784555">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5</w:t>
            </w:r>
          </w:p>
        </w:tc>
        <w:tc>
          <w:tcPr>
            <w:tcW w:w="7395" w:type="dxa"/>
            <w:noWrap w:val="0"/>
            <w:vAlign w:val="center"/>
          </w:tcPr>
          <w:p w14:paraId="5BD36F59">
            <w:pPr>
              <w:spacing w:line="300" w:lineRule="auto"/>
              <w:rPr>
                <w:rFonts w:hint="eastAsia" w:ascii="宋体" w:hAnsi="宋体"/>
                <w:b/>
                <w:color w:val="auto"/>
                <w:sz w:val="21"/>
                <w:szCs w:val="21"/>
                <w:highlight w:val="none"/>
              </w:rPr>
            </w:pPr>
            <w:r>
              <w:rPr>
                <w:rFonts w:hint="eastAsia" w:ascii="宋体" w:hAnsi="宋体"/>
                <w:b/>
                <w:color w:val="auto"/>
                <w:sz w:val="21"/>
                <w:szCs w:val="21"/>
                <w:highlight w:val="none"/>
              </w:rPr>
              <w:t>采购文件中的全部商务条款均能完全响应</w:t>
            </w:r>
          </w:p>
        </w:tc>
        <w:tc>
          <w:tcPr>
            <w:tcW w:w="1281" w:type="dxa"/>
            <w:noWrap w:val="0"/>
            <w:vAlign w:val="center"/>
          </w:tcPr>
          <w:p w14:paraId="02903D3A">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676B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5A3A13ED">
            <w:pPr>
              <w:spacing w:line="30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6</w:t>
            </w:r>
          </w:p>
        </w:tc>
        <w:tc>
          <w:tcPr>
            <w:tcW w:w="7395" w:type="dxa"/>
            <w:noWrap w:val="0"/>
            <w:vAlign w:val="center"/>
          </w:tcPr>
          <w:p w14:paraId="62AAFDEE">
            <w:pPr>
              <w:spacing w:line="300" w:lineRule="auto"/>
              <w:rPr>
                <w:rFonts w:hint="eastAsia" w:ascii="宋体" w:hAnsi="宋体"/>
                <w:color w:val="auto"/>
                <w:sz w:val="21"/>
                <w:szCs w:val="21"/>
                <w:highlight w:val="none"/>
              </w:rPr>
            </w:pPr>
            <w:r>
              <w:rPr>
                <w:rFonts w:hint="eastAsia" w:ascii="宋体" w:hAnsi="宋体"/>
                <w:color w:val="auto"/>
                <w:sz w:val="21"/>
                <w:szCs w:val="21"/>
                <w:highlight w:val="none"/>
              </w:rPr>
              <w:t>同意接受采购人发布的补充通知中各项商务要求（如有）</w:t>
            </w:r>
          </w:p>
        </w:tc>
        <w:tc>
          <w:tcPr>
            <w:tcW w:w="1281" w:type="dxa"/>
            <w:noWrap w:val="0"/>
            <w:vAlign w:val="center"/>
          </w:tcPr>
          <w:p w14:paraId="7F69C9A0">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1D9E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6F2578EE">
            <w:pPr>
              <w:spacing w:line="300" w:lineRule="auto"/>
              <w:jc w:val="center"/>
              <w:rPr>
                <w:rFonts w:ascii="宋体" w:hAnsi="宋体"/>
                <w:b/>
                <w:color w:val="auto"/>
                <w:sz w:val="21"/>
                <w:szCs w:val="21"/>
                <w:highlight w:val="none"/>
              </w:rPr>
            </w:pPr>
            <w:r>
              <w:rPr>
                <w:rFonts w:ascii="宋体" w:hAnsi="宋体"/>
                <w:b/>
                <w:color w:val="auto"/>
                <w:sz w:val="21"/>
                <w:szCs w:val="21"/>
                <w:highlight w:val="none"/>
              </w:rPr>
              <w:t>7</w:t>
            </w:r>
          </w:p>
        </w:tc>
        <w:tc>
          <w:tcPr>
            <w:tcW w:w="7395" w:type="dxa"/>
            <w:noWrap w:val="0"/>
            <w:vAlign w:val="center"/>
          </w:tcPr>
          <w:p w14:paraId="43DBF0CD">
            <w:pPr>
              <w:spacing w:line="300" w:lineRule="auto"/>
              <w:rPr>
                <w:rFonts w:hint="eastAsia" w:ascii="宋体" w:hAnsi="宋体"/>
                <w:color w:val="auto"/>
                <w:sz w:val="21"/>
                <w:szCs w:val="21"/>
                <w:highlight w:val="none"/>
              </w:rPr>
            </w:pPr>
            <w:r>
              <w:rPr>
                <w:rFonts w:hint="eastAsia" w:ascii="宋体" w:hAnsi="宋体"/>
                <w:color w:val="auto"/>
                <w:sz w:val="21"/>
                <w:szCs w:val="21"/>
                <w:highlight w:val="none"/>
              </w:rPr>
              <w:t>同意采购人以任何形式对我方提供的商务部分内容的真实性和有效性进行公开审查验证</w:t>
            </w:r>
          </w:p>
        </w:tc>
        <w:tc>
          <w:tcPr>
            <w:tcW w:w="1281" w:type="dxa"/>
            <w:noWrap w:val="0"/>
            <w:vAlign w:val="center"/>
          </w:tcPr>
          <w:p w14:paraId="52CB2C56">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5BB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40BF6BAA">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8</w:t>
            </w:r>
          </w:p>
        </w:tc>
        <w:tc>
          <w:tcPr>
            <w:tcW w:w="7395" w:type="dxa"/>
            <w:noWrap w:val="0"/>
            <w:vAlign w:val="center"/>
          </w:tcPr>
          <w:p w14:paraId="76A131BC">
            <w:pPr>
              <w:spacing w:line="300" w:lineRule="auto"/>
              <w:rPr>
                <w:rFonts w:hint="eastAsia" w:ascii="宋体" w:hAnsi="宋体"/>
                <w:color w:val="auto"/>
                <w:sz w:val="21"/>
                <w:szCs w:val="21"/>
                <w:highlight w:val="none"/>
              </w:rPr>
            </w:pPr>
            <w:r>
              <w:rPr>
                <w:rFonts w:hint="eastAsia" w:ascii="宋体" w:hAnsi="宋体"/>
                <w:color w:val="auto"/>
                <w:sz w:val="21"/>
                <w:szCs w:val="21"/>
                <w:highlight w:val="none"/>
              </w:rPr>
              <w:t>磋商有效期接受并同意磋商文件的要求。</w:t>
            </w:r>
          </w:p>
        </w:tc>
        <w:tc>
          <w:tcPr>
            <w:tcW w:w="1281" w:type="dxa"/>
            <w:noWrap w:val="0"/>
            <w:vAlign w:val="center"/>
          </w:tcPr>
          <w:p w14:paraId="3C200D6A">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0D8D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38874220">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9</w:t>
            </w:r>
          </w:p>
        </w:tc>
        <w:tc>
          <w:tcPr>
            <w:tcW w:w="7395" w:type="dxa"/>
            <w:noWrap w:val="0"/>
            <w:vAlign w:val="center"/>
          </w:tcPr>
          <w:p w14:paraId="50EA0ADF">
            <w:pPr>
              <w:spacing w:line="300" w:lineRule="auto"/>
              <w:rPr>
                <w:rFonts w:ascii="宋体" w:hAnsi="宋体"/>
                <w:color w:val="auto"/>
                <w:sz w:val="21"/>
                <w:szCs w:val="21"/>
                <w:highlight w:val="none"/>
              </w:rPr>
            </w:pPr>
            <w:r>
              <w:rPr>
                <w:rFonts w:hint="eastAsia" w:ascii="宋体" w:hAnsi="宋体"/>
                <w:color w:val="auto"/>
                <w:sz w:val="21"/>
                <w:szCs w:val="21"/>
                <w:highlight w:val="none"/>
              </w:rPr>
              <w:t>报价内容均涵盖报价要求之一切费用和伴随服务</w:t>
            </w:r>
          </w:p>
        </w:tc>
        <w:tc>
          <w:tcPr>
            <w:tcW w:w="1281" w:type="dxa"/>
            <w:noWrap w:val="0"/>
            <w:vAlign w:val="center"/>
          </w:tcPr>
          <w:p w14:paraId="58F837BC">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05B4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noWrap w:val="0"/>
            <w:vAlign w:val="center"/>
          </w:tcPr>
          <w:p w14:paraId="52167715">
            <w:pPr>
              <w:spacing w:line="300" w:lineRule="auto"/>
              <w:jc w:val="center"/>
              <w:rPr>
                <w:rFonts w:ascii="宋体" w:hAnsi="宋体"/>
                <w:b/>
                <w:color w:val="auto"/>
                <w:sz w:val="21"/>
                <w:szCs w:val="21"/>
                <w:highlight w:val="none"/>
              </w:rPr>
            </w:pPr>
            <w:r>
              <w:rPr>
                <w:rFonts w:hint="eastAsia" w:ascii="宋体" w:hAnsi="宋体"/>
                <w:b/>
                <w:color w:val="auto"/>
                <w:sz w:val="21"/>
                <w:szCs w:val="21"/>
                <w:highlight w:val="none"/>
              </w:rPr>
              <w:t>10</w:t>
            </w:r>
          </w:p>
        </w:tc>
        <w:tc>
          <w:tcPr>
            <w:tcW w:w="7395" w:type="dxa"/>
            <w:noWrap w:val="0"/>
            <w:vAlign w:val="center"/>
          </w:tcPr>
          <w:p w14:paraId="156B0D14">
            <w:pPr>
              <w:spacing w:line="300" w:lineRule="auto"/>
              <w:rPr>
                <w:rFonts w:ascii="宋体" w:hAnsi="宋体"/>
                <w:color w:val="auto"/>
                <w:sz w:val="21"/>
                <w:szCs w:val="21"/>
                <w:highlight w:val="none"/>
              </w:rPr>
            </w:pPr>
            <w:r>
              <w:rPr>
                <w:rFonts w:ascii="宋体" w:hAnsi="宋体"/>
                <w:b/>
                <w:color w:val="auto"/>
                <w:sz w:val="21"/>
                <w:szCs w:val="21"/>
                <w:highlight w:val="none"/>
              </w:rPr>
              <w:t>完全响应磋商文件以上除外的全部商务条款</w:t>
            </w:r>
            <w:r>
              <w:rPr>
                <w:rFonts w:hint="eastAsia" w:ascii="宋体" w:hAnsi="宋体"/>
                <w:b/>
                <w:color w:val="auto"/>
                <w:sz w:val="21"/>
                <w:szCs w:val="21"/>
                <w:highlight w:val="none"/>
              </w:rPr>
              <w:t>（含“★”项）</w:t>
            </w:r>
          </w:p>
        </w:tc>
        <w:tc>
          <w:tcPr>
            <w:tcW w:w="1281" w:type="dxa"/>
            <w:noWrap w:val="0"/>
            <w:vAlign w:val="center"/>
          </w:tcPr>
          <w:p w14:paraId="271AF1E3">
            <w:pPr>
              <w:keepNext w:val="0"/>
              <w:widowControl w:val="0"/>
              <w:adjustRightInd/>
              <w:spacing w:before="0" w:after="0" w:line="300" w:lineRule="auto"/>
              <w:jc w:val="center"/>
              <w:textAlignment w:val="auto"/>
              <w:rPr>
                <w:rFonts w:ascii="宋体" w:hAnsi="宋体" w:eastAsia="宋体" w:cs="Times New Roman"/>
                <w:b/>
                <w:color w:val="auto"/>
                <w:spacing w:val="0"/>
                <w:kern w:val="2"/>
                <w:sz w:val="21"/>
                <w:szCs w:val="21"/>
                <w:highlight w:val="none"/>
                <w:lang w:val="en-US" w:eastAsia="zh-CN" w:bidi="ar-SA"/>
              </w:rPr>
            </w:pPr>
          </w:p>
        </w:tc>
      </w:tr>
      <w:tr w14:paraId="1913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08" w:type="dxa"/>
            <w:gridSpan w:val="3"/>
            <w:shd w:val="clear" w:color="auto" w:fill="F2F2F2"/>
            <w:noWrap w:val="0"/>
            <w:vAlign w:val="center"/>
          </w:tcPr>
          <w:p w14:paraId="6B1C8117">
            <w:pPr>
              <w:keepNext w:val="0"/>
              <w:widowControl w:val="0"/>
              <w:adjustRightInd/>
              <w:spacing w:before="0" w:after="0" w:line="300" w:lineRule="auto"/>
              <w:jc w:val="left"/>
              <w:textAlignment w:val="auto"/>
              <w:rPr>
                <w:rFonts w:hint="eastAsia"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二、商务条款偏离情况说明（如有）：</w:t>
            </w:r>
          </w:p>
        </w:tc>
      </w:tr>
      <w:tr w14:paraId="4A8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708" w:type="dxa"/>
            <w:gridSpan w:val="3"/>
            <w:noWrap w:val="0"/>
            <w:vAlign w:val="center"/>
          </w:tcPr>
          <w:p w14:paraId="34B50BF9">
            <w:pPr>
              <w:keepNext w:val="0"/>
              <w:widowControl w:val="0"/>
              <w:adjustRightInd/>
              <w:spacing w:before="0" w:after="0" w:line="300" w:lineRule="auto"/>
              <w:jc w:val="left"/>
              <w:textAlignment w:val="auto"/>
              <w:rPr>
                <w:rFonts w:hint="eastAsia" w:ascii="宋体" w:hAnsi="宋体" w:eastAsia="宋体" w:cs="Times New Roman"/>
                <w:color w:val="auto"/>
                <w:spacing w:val="0"/>
                <w:kern w:val="2"/>
                <w:sz w:val="21"/>
                <w:szCs w:val="21"/>
                <w:highlight w:val="none"/>
                <w:lang w:val="en-US" w:eastAsia="zh-CN" w:bidi="ar-SA"/>
              </w:rPr>
            </w:pPr>
          </w:p>
        </w:tc>
      </w:tr>
      <w:tr w14:paraId="7D5E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08" w:type="dxa"/>
            <w:gridSpan w:val="3"/>
            <w:shd w:val="clear" w:color="auto" w:fill="F2F2F2"/>
            <w:noWrap w:val="0"/>
            <w:vAlign w:val="center"/>
          </w:tcPr>
          <w:p w14:paraId="57F18CC4">
            <w:pPr>
              <w:keepNext w:val="0"/>
              <w:widowControl w:val="0"/>
              <w:adjustRightInd/>
              <w:spacing w:before="0" w:after="0" w:line="300" w:lineRule="auto"/>
              <w:jc w:val="left"/>
              <w:textAlignment w:val="auto"/>
              <w:rPr>
                <w:rFonts w:hint="eastAsia"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三、不同意公开的商务部分内容（如有）：</w:t>
            </w:r>
          </w:p>
        </w:tc>
      </w:tr>
      <w:tr w14:paraId="0070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708" w:type="dxa"/>
            <w:gridSpan w:val="3"/>
            <w:noWrap w:val="0"/>
            <w:vAlign w:val="center"/>
          </w:tcPr>
          <w:p w14:paraId="27FD9B97">
            <w:pPr>
              <w:keepNext w:val="0"/>
              <w:widowControl w:val="0"/>
              <w:adjustRightInd/>
              <w:spacing w:before="0" w:after="0" w:line="300" w:lineRule="auto"/>
              <w:jc w:val="left"/>
              <w:textAlignment w:val="auto"/>
              <w:rPr>
                <w:rFonts w:hint="eastAsia" w:ascii="宋体" w:hAnsi="宋体" w:eastAsia="宋体" w:cs="Times New Roman"/>
                <w:color w:val="auto"/>
                <w:spacing w:val="0"/>
                <w:kern w:val="2"/>
                <w:sz w:val="21"/>
                <w:szCs w:val="21"/>
                <w:highlight w:val="none"/>
                <w:lang w:val="en-US" w:eastAsia="zh-CN" w:bidi="ar-SA"/>
              </w:rPr>
            </w:pPr>
          </w:p>
        </w:tc>
      </w:tr>
    </w:tbl>
    <w:p w14:paraId="62557FDC">
      <w:pPr>
        <w:rPr>
          <w:rFonts w:ascii="宋体" w:hAnsi="宋体"/>
          <w:b/>
          <w:color w:val="auto"/>
          <w:sz w:val="21"/>
          <w:szCs w:val="21"/>
          <w:highlight w:val="none"/>
          <w:u w:val="double"/>
        </w:rPr>
      </w:pPr>
    </w:p>
    <w:p w14:paraId="7CCE54FB">
      <w:pPr>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填表要求：</w:t>
      </w:r>
    </w:p>
    <w:p w14:paraId="7245C680">
      <w:pPr>
        <w:tabs>
          <w:tab w:val="left" w:pos="540"/>
        </w:tabs>
        <w:snapToGrid w:val="0"/>
        <w:rPr>
          <w:rFonts w:hint="eastAsia" w:ascii="宋体" w:hAnsi="宋体"/>
          <w:color w:val="auto"/>
          <w:sz w:val="21"/>
          <w:szCs w:val="21"/>
          <w:highlight w:val="none"/>
          <w:lang w:val="en-GB"/>
        </w:rPr>
      </w:pPr>
      <w:r>
        <w:rPr>
          <w:rFonts w:hint="eastAsia" w:ascii="宋体" w:hAnsi="宋体"/>
          <w:color w:val="auto"/>
          <w:sz w:val="21"/>
          <w:szCs w:val="21"/>
          <w:highlight w:val="none"/>
          <w:lang w:val="en-GB"/>
        </w:rPr>
        <w:t>1.  如响应，请在“是否响应”栏内打“√”视为响应；</w:t>
      </w:r>
    </w:p>
    <w:p w14:paraId="63EA5977">
      <w:pPr>
        <w:tabs>
          <w:tab w:val="left" w:pos="540"/>
        </w:tabs>
        <w:snapToGrid w:val="0"/>
        <w:ind w:left="420" w:hanging="420" w:hangingChars="200"/>
        <w:rPr>
          <w:rFonts w:hint="eastAsia" w:ascii="宋体" w:hAnsi="宋体"/>
          <w:color w:val="auto"/>
          <w:sz w:val="21"/>
          <w:szCs w:val="21"/>
          <w:highlight w:val="none"/>
          <w:lang w:val="en-GB"/>
        </w:rPr>
      </w:pPr>
      <w:r>
        <w:rPr>
          <w:rFonts w:hint="eastAsia" w:ascii="宋体" w:hAnsi="宋体"/>
          <w:color w:val="auto"/>
          <w:sz w:val="21"/>
          <w:szCs w:val="21"/>
          <w:highlight w:val="none"/>
          <w:lang w:val="en-GB"/>
        </w:rPr>
        <w:t>2.  如偏离，请在“是否响应”栏内打“×”视为偏离，并在“商务条款偏离情况说明”栏内扼要说明偏离情况；</w:t>
      </w:r>
    </w:p>
    <w:p w14:paraId="02B927A6">
      <w:pPr>
        <w:tabs>
          <w:tab w:val="left" w:pos="540"/>
        </w:tabs>
        <w:snapToGrid w:val="0"/>
        <w:ind w:left="420" w:hanging="420" w:hangingChars="200"/>
        <w:rPr>
          <w:rFonts w:hint="eastAsia" w:ascii="宋体" w:hAnsi="宋体"/>
          <w:color w:val="auto"/>
          <w:sz w:val="21"/>
          <w:szCs w:val="21"/>
          <w:highlight w:val="none"/>
          <w:lang w:val="en-GB"/>
        </w:rPr>
      </w:pPr>
      <w:r>
        <w:rPr>
          <w:rFonts w:hint="eastAsia" w:ascii="宋体" w:hAnsi="宋体"/>
          <w:color w:val="auto"/>
          <w:sz w:val="21"/>
          <w:szCs w:val="21"/>
          <w:highlight w:val="none"/>
          <w:lang w:val="en-GB"/>
        </w:rPr>
        <w:t>3.  如未按规定填写本表或在“是否响应”栏留空，将视为负偏离，且有可能导致供应商的磋商无效，最终以磋商小组确定为准；</w:t>
      </w:r>
    </w:p>
    <w:p w14:paraId="54F3F193">
      <w:pPr>
        <w:tabs>
          <w:tab w:val="left" w:pos="540"/>
        </w:tabs>
        <w:snapToGrid w:val="0"/>
        <w:ind w:left="525" w:hanging="525" w:hangingChars="250"/>
        <w:rPr>
          <w:rFonts w:hint="eastAsia" w:ascii="宋体" w:hAnsi="宋体"/>
          <w:color w:val="auto"/>
          <w:sz w:val="21"/>
          <w:szCs w:val="21"/>
          <w:highlight w:val="none"/>
          <w:lang w:val="en-GB"/>
        </w:rPr>
      </w:pPr>
      <w:r>
        <w:rPr>
          <w:rFonts w:hint="eastAsia" w:ascii="宋体" w:hAnsi="宋体"/>
          <w:color w:val="auto"/>
          <w:sz w:val="21"/>
          <w:szCs w:val="21"/>
          <w:highlight w:val="none"/>
          <w:lang w:val="en-GB"/>
        </w:rPr>
        <w:t>4.  本文件中有“★”标注项为不可负偏离(劣于)的重要项；</w:t>
      </w:r>
    </w:p>
    <w:p w14:paraId="2502B11D">
      <w:pPr>
        <w:tabs>
          <w:tab w:val="left" w:pos="540"/>
        </w:tabs>
        <w:snapToGrid w:val="0"/>
        <w:ind w:left="525" w:hanging="525" w:hangingChars="250"/>
        <w:rPr>
          <w:rFonts w:hint="eastAsia" w:ascii="宋体" w:hAnsi="宋体"/>
          <w:color w:val="auto"/>
          <w:sz w:val="21"/>
          <w:szCs w:val="21"/>
          <w:highlight w:val="none"/>
          <w:lang w:val="en-GB"/>
        </w:rPr>
      </w:pPr>
      <w:r>
        <w:rPr>
          <w:rFonts w:hint="eastAsia" w:ascii="宋体" w:hAnsi="宋体"/>
          <w:color w:val="auto"/>
          <w:sz w:val="21"/>
          <w:szCs w:val="21"/>
          <w:highlight w:val="none"/>
          <w:lang w:val="en-GB"/>
        </w:rPr>
        <w:t>5.  此表内容必须与实施方案中所介绍的内容一致；</w:t>
      </w:r>
    </w:p>
    <w:p w14:paraId="180F6C8A">
      <w:pPr>
        <w:tabs>
          <w:tab w:val="left" w:pos="540"/>
        </w:tabs>
        <w:snapToGrid w:val="0"/>
        <w:ind w:left="525" w:hanging="525" w:hangingChars="250"/>
        <w:rPr>
          <w:rFonts w:ascii="宋体" w:hAnsi="宋体"/>
          <w:color w:val="auto"/>
          <w:sz w:val="21"/>
          <w:szCs w:val="21"/>
          <w:highlight w:val="none"/>
          <w:lang w:val="en-GB"/>
        </w:rPr>
      </w:pPr>
      <w:r>
        <w:rPr>
          <w:rFonts w:hint="eastAsia" w:ascii="宋体" w:hAnsi="宋体"/>
          <w:color w:val="auto"/>
          <w:sz w:val="21"/>
          <w:szCs w:val="21"/>
          <w:highlight w:val="none"/>
          <w:lang w:val="en-GB"/>
        </w:rPr>
        <w:t>6.  本表内容不得擅自修改。</w:t>
      </w:r>
    </w:p>
    <w:p w14:paraId="488EF045">
      <w:pPr>
        <w:spacing w:line="360" w:lineRule="auto"/>
        <w:rPr>
          <w:rFonts w:ascii="宋体" w:hAnsi="宋体"/>
          <w:color w:val="auto"/>
          <w:highlight w:val="none"/>
        </w:rPr>
      </w:pPr>
    </w:p>
    <w:p w14:paraId="60F6A6AE">
      <w:pPr>
        <w:tabs>
          <w:tab w:val="left" w:pos="-3780"/>
        </w:tabs>
        <w:spacing w:line="360" w:lineRule="auto"/>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（公司名称）          </w:t>
      </w:r>
      <w:r>
        <w:rPr>
          <w:rFonts w:hint="eastAsia" w:ascii="宋体" w:hAnsi="宋体"/>
          <w:color w:val="auto"/>
          <w:highlight w:val="none"/>
        </w:rPr>
        <w:t>（盖公章）</w:t>
      </w:r>
    </w:p>
    <w:p w14:paraId="2BD71144">
      <w:pPr>
        <w:tabs>
          <w:tab w:val="left" w:pos="-3780"/>
        </w:tabs>
        <w:spacing w:line="360" w:lineRule="auto"/>
        <w:rPr>
          <w:rFonts w:ascii="宋体" w:hAnsi="宋体"/>
          <w:color w:val="auto"/>
          <w:highlight w:val="none"/>
          <w:u w:val="single"/>
        </w:rPr>
      </w:pPr>
      <w:r>
        <w:rPr>
          <w:rFonts w:hint="eastAsia" w:ascii="宋体" w:hAnsi="宋体"/>
          <w:color w:val="auto"/>
          <w:highlight w:val="none"/>
        </w:rPr>
        <w:t>法定代表人（或全权代表）：</w:t>
      </w:r>
      <w:r>
        <w:rPr>
          <w:rFonts w:hint="eastAsia" w:ascii="宋体" w:hAnsi="宋体"/>
          <w:color w:val="auto"/>
          <w:highlight w:val="none"/>
          <w:u w:val="single"/>
        </w:rPr>
        <w:t xml:space="preserve">    （签名或签章）  </w:t>
      </w:r>
    </w:p>
    <w:p w14:paraId="4FDC3646">
      <w:pPr>
        <w:spacing w:line="360" w:lineRule="auto"/>
        <w:rPr>
          <w:rFonts w:ascii="宋体" w:hAnsi="宋体"/>
          <w:color w:val="auto"/>
          <w:highlight w:val="none"/>
        </w:rPr>
      </w:pPr>
      <w:r>
        <w:rPr>
          <w:rFonts w:hint="eastAsia" w:ascii="宋体" w:hAnsi="宋体"/>
          <w:color w:val="auto"/>
          <w:highlight w:val="none"/>
        </w:rPr>
        <w:t>日期：    年    月    日</w:t>
      </w:r>
    </w:p>
    <w:p w14:paraId="3044BA2F">
      <w:pPr>
        <w:rPr>
          <w:rFonts w:ascii="宋体" w:hAnsi="宋体"/>
          <w:color w:val="auto"/>
          <w:highlight w:val="none"/>
        </w:rPr>
      </w:pPr>
      <w:r>
        <w:rPr>
          <w:rFonts w:ascii="宋体" w:hAnsi="宋体"/>
          <w:color w:val="auto"/>
          <w:highlight w:val="none"/>
        </w:rPr>
        <w:br w:type="page"/>
      </w:r>
    </w:p>
    <w:p w14:paraId="4AF3EEC2">
      <w:pPr>
        <w:pStyle w:val="4"/>
        <w:spacing w:after="156" w:afterLines="50"/>
        <w:ind w:left="720"/>
        <w:jc w:val="center"/>
        <w:rPr>
          <w:rFonts w:hint="eastAsia"/>
          <w:color w:val="auto"/>
          <w:sz w:val="32"/>
          <w:highlight w:val="none"/>
        </w:rPr>
      </w:pPr>
      <w:r>
        <w:rPr>
          <w:rFonts w:hint="eastAsia"/>
          <w:color w:val="auto"/>
          <w:sz w:val="32"/>
          <w:highlight w:val="none"/>
        </w:rPr>
        <w:t>4</w:t>
      </w:r>
      <w:r>
        <w:rPr>
          <w:color w:val="auto"/>
          <w:sz w:val="32"/>
          <w:highlight w:val="none"/>
        </w:rPr>
        <w:t>.2</w:t>
      </w:r>
      <w:r>
        <w:rPr>
          <w:rFonts w:hint="eastAsia"/>
          <w:color w:val="auto"/>
          <w:sz w:val="32"/>
          <w:highlight w:val="none"/>
        </w:rPr>
        <w:t xml:space="preserve"> 供应商综合概况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825"/>
        <w:gridCol w:w="1414"/>
        <w:gridCol w:w="524"/>
        <w:gridCol w:w="1195"/>
        <w:gridCol w:w="467"/>
        <w:gridCol w:w="644"/>
        <w:gridCol w:w="2011"/>
      </w:tblGrid>
      <w:tr w14:paraId="2D46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316F1E01">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单位名称</w:t>
            </w:r>
          </w:p>
        </w:tc>
        <w:tc>
          <w:tcPr>
            <w:tcW w:w="8080" w:type="dxa"/>
            <w:gridSpan w:val="7"/>
            <w:noWrap w:val="0"/>
            <w:vAlign w:val="center"/>
          </w:tcPr>
          <w:p w14:paraId="706ACEB6">
            <w:pPr>
              <w:widowControl/>
              <w:spacing w:line="288" w:lineRule="auto"/>
              <w:jc w:val="center"/>
              <w:rPr>
                <w:rFonts w:ascii="宋体" w:hAnsi="宋体"/>
                <w:color w:val="auto"/>
                <w:kern w:val="0"/>
                <w:sz w:val="21"/>
                <w:szCs w:val="21"/>
                <w:highlight w:val="none"/>
              </w:rPr>
            </w:pPr>
          </w:p>
        </w:tc>
      </w:tr>
      <w:tr w14:paraId="4881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22833FC9">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地    址</w:t>
            </w:r>
          </w:p>
        </w:tc>
        <w:tc>
          <w:tcPr>
            <w:tcW w:w="4958" w:type="dxa"/>
            <w:gridSpan w:val="4"/>
            <w:noWrap w:val="0"/>
            <w:vAlign w:val="center"/>
          </w:tcPr>
          <w:p w14:paraId="220B752F">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5A104E71">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邮 编</w:t>
            </w:r>
          </w:p>
        </w:tc>
        <w:tc>
          <w:tcPr>
            <w:tcW w:w="2011" w:type="dxa"/>
            <w:noWrap w:val="0"/>
            <w:vAlign w:val="center"/>
          </w:tcPr>
          <w:p w14:paraId="2804D737">
            <w:pPr>
              <w:widowControl/>
              <w:spacing w:line="288" w:lineRule="auto"/>
              <w:jc w:val="center"/>
              <w:rPr>
                <w:rFonts w:ascii="宋体" w:hAnsi="宋体"/>
                <w:color w:val="auto"/>
                <w:kern w:val="0"/>
                <w:sz w:val="21"/>
                <w:szCs w:val="21"/>
                <w:highlight w:val="none"/>
              </w:rPr>
            </w:pPr>
          </w:p>
        </w:tc>
      </w:tr>
      <w:tr w14:paraId="2A6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2351C385">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法人代表</w:t>
            </w:r>
          </w:p>
        </w:tc>
        <w:tc>
          <w:tcPr>
            <w:tcW w:w="1825" w:type="dxa"/>
            <w:noWrap w:val="0"/>
            <w:vAlign w:val="center"/>
          </w:tcPr>
          <w:p w14:paraId="2D1EBAF2">
            <w:pPr>
              <w:widowControl/>
              <w:spacing w:line="288" w:lineRule="auto"/>
              <w:jc w:val="center"/>
              <w:rPr>
                <w:rFonts w:ascii="宋体" w:hAnsi="宋体"/>
                <w:color w:val="auto"/>
                <w:kern w:val="0"/>
                <w:sz w:val="21"/>
                <w:szCs w:val="21"/>
                <w:highlight w:val="none"/>
              </w:rPr>
            </w:pPr>
          </w:p>
        </w:tc>
        <w:tc>
          <w:tcPr>
            <w:tcW w:w="1414" w:type="dxa"/>
            <w:noWrap w:val="0"/>
            <w:vAlign w:val="center"/>
          </w:tcPr>
          <w:p w14:paraId="336202D1">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法人代表</w:t>
            </w:r>
          </w:p>
          <w:p w14:paraId="59F9626F">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身份证号码</w:t>
            </w:r>
          </w:p>
        </w:tc>
        <w:tc>
          <w:tcPr>
            <w:tcW w:w="1719" w:type="dxa"/>
            <w:gridSpan w:val="2"/>
            <w:noWrap w:val="0"/>
            <w:vAlign w:val="center"/>
          </w:tcPr>
          <w:p w14:paraId="43DEDB03">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2F8B230A">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联系电话</w:t>
            </w:r>
          </w:p>
        </w:tc>
        <w:tc>
          <w:tcPr>
            <w:tcW w:w="2011" w:type="dxa"/>
            <w:noWrap w:val="0"/>
            <w:vAlign w:val="center"/>
          </w:tcPr>
          <w:p w14:paraId="7CAA3224">
            <w:pPr>
              <w:widowControl/>
              <w:spacing w:line="288" w:lineRule="auto"/>
              <w:jc w:val="center"/>
              <w:rPr>
                <w:rFonts w:ascii="宋体" w:hAnsi="宋体"/>
                <w:color w:val="auto"/>
                <w:kern w:val="0"/>
                <w:sz w:val="21"/>
                <w:szCs w:val="21"/>
                <w:highlight w:val="none"/>
              </w:rPr>
            </w:pPr>
          </w:p>
        </w:tc>
      </w:tr>
      <w:tr w14:paraId="787A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0C4D410A">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业务联系人</w:t>
            </w:r>
          </w:p>
        </w:tc>
        <w:tc>
          <w:tcPr>
            <w:tcW w:w="1825" w:type="dxa"/>
            <w:noWrap w:val="0"/>
            <w:vAlign w:val="center"/>
          </w:tcPr>
          <w:p w14:paraId="4E91E1F7">
            <w:pPr>
              <w:widowControl/>
              <w:spacing w:line="288" w:lineRule="auto"/>
              <w:jc w:val="center"/>
              <w:rPr>
                <w:rFonts w:ascii="宋体" w:hAnsi="宋体"/>
                <w:color w:val="auto"/>
                <w:kern w:val="0"/>
                <w:sz w:val="21"/>
                <w:szCs w:val="21"/>
                <w:highlight w:val="none"/>
              </w:rPr>
            </w:pPr>
          </w:p>
        </w:tc>
        <w:tc>
          <w:tcPr>
            <w:tcW w:w="1414" w:type="dxa"/>
            <w:noWrap w:val="0"/>
            <w:vAlign w:val="center"/>
          </w:tcPr>
          <w:p w14:paraId="22B2077C">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业务联系人</w:t>
            </w:r>
          </w:p>
          <w:p w14:paraId="0C749BF7">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身份证号码</w:t>
            </w:r>
          </w:p>
        </w:tc>
        <w:tc>
          <w:tcPr>
            <w:tcW w:w="1719" w:type="dxa"/>
            <w:gridSpan w:val="2"/>
            <w:noWrap w:val="0"/>
            <w:vAlign w:val="center"/>
          </w:tcPr>
          <w:p w14:paraId="4964627E">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306A2EC0">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职 务</w:t>
            </w:r>
          </w:p>
        </w:tc>
        <w:tc>
          <w:tcPr>
            <w:tcW w:w="2011" w:type="dxa"/>
            <w:noWrap w:val="0"/>
            <w:vAlign w:val="center"/>
          </w:tcPr>
          <w:p w14:paraId="3FCE5EC1">
            <w:pPr>
              <w:widowControl/>
              <w:spacing w:line="288" w:lineRule="auto"/>
              <w:jc w:val="center"/>
              <w:rPr>
                <w:rFonts w:ascii="宋体" w:hAnsi="宋体"/>
                <w:color w:val="auto"/>
                <w:kern w:val="0"/>
                <w:sz w:val="21"/>
                <w:szCs w:val="21"/>
                <w:highlight w:val="none"/>
              </w:rPr>
            </w:pPr>
          </w:p>
        </w:tc>
      </w:tr>
      <w:tr w14:paraId="66ED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3885CE83">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电    话</w:t>
            </w:r>
          </w:p>
        </w:tc>
        <w:tc>
          <w:tcPr>
            <w:tcW w:w="1825" w:type="dxa"/>
            <w:noWrap w:val="0"/>
            <w:vAlign w:val="center"/>
          </w:tcPr>
          <w:p w14:paraId="4A3A5095">
            <w:pPr>
              <w:widowControl/>
              <w:spacing w:line="288" w:lineRule="auto"/>
              <w:jc w:val="center"/>
              <w:rPr>
                <w:rFonts w:ascii="宋体" w:hAnsi="宋体"/>
                <w:color w:val="auto"/>
                <w:kern w:val="0"/>
                <w:sz w:val="21"/>
                <w:szCs w:val="21"/>
                <w:highlight w:val="none"/>
              </w:rPr>
            </w:pPr>
          </w:p>
        </w:tc>
        <w:tc>
          <w:tcPr>
            <w:tcW w:w="1414" w:type="dxa"/>
            <w:noWrap w:val="0"/>
            <w:vAlign w:val="center"/>
          </w:tcPr>
          <w:p w14:paraId="0136DFEF">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手机</w:t>
            </w:r>
          </w:p>
        </w:tc>
        <w:tc>
          <w:tcPr>
            <w:tcW w:w="1719" w:type="dxa"/>
            <w:gridSpan w:val="2"/>
            <w:noWrap w:val="0"/>
            <w:vAlign w:val="center"/>
          </w:tcPr>
          <w:p w14:paraId="1DAB0A1A">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09190A2D">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传 真</w:t>
            </w:r>
          </w:p>
        </w:tc>
        <w:tc>
          <w:tcPr>
            <w:tcW w:w="2011" w:type="dxa"/>
            <w:noWrap w:val="0"/>
            <w:vAlign w:val="center"/>
          </w:tcPr>
          <w:p w14:paraId="053AB3D9">
            <w:pPr>
              <w:widowControl/>
              <w:spacing w:line="288" w:lineRule="auto"/>
              <w:jc w:val="center"/>
              <w:rPr>
                <w:rFonts w:ascii="宋体" w:hAnsi="宋体"/>
                <w:color w:val="auto"/>
                <w:kern w:val="0"/>
                <w:sz w:val="21"/>
                <w:szCs w:val="21"/>
                <w:highlight w:val="none"/>
              </w:rPr>
            </w:pPr>
          </w:p>
        </w:tc>
      </w:tr>
      <w:tr w14:paraId="601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noWrap w:val="0"/>
            <w:vAlign w:val="center"/>
          </w:tcPr>
          <w:p w14:paraId="2B550F73">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财务联系人</w:t>
            </w:r>
          </w:p>
        </w:tc>
        <w:tc>
          <w:tcPr>
            <w:tcW w:w="1825" w:type="dxa"/>
            <w:noWrap w:val="0"/>
            <w:vAlign w:val="center"/>
          </w:tcPr>
          <w:p w14:paraId="162A0F94">
            <w:pPr>
              <w:widowControl/>
              <w:spacing w:line="288" w:lineRule="auto"/>
              <w:jc w:val="center"/>
              <w:rPr>
                <w:rFonts w:ascii="宋体" w:hAnsi="宋体"/>
                <w:color w:val="auto"/>
                <w:kern w:val="0"/>
                <w:sz w:val="21"/>
                <w:szCs w:val="21"/>
                <w:highlight w:val="none"/>
              </w:rPr>
            </w:pPr>
          </w:p>
        </w:tc>
        <w:tc>
          <w:tcPr>
            <w:tcW w:w="1414" w:type="dxa"/>
            <w:noWrap w:val="0"/>
            <w:vAlign w:val="center"/>
          </w:tcPr>
          <w:p w14:paraId="33F3BC9A">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财务联系人</w:t>
            </w:r>
          </w:p>
          <w:p w14:paraId="6413B601">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身份证号码</w:t>
            </w:r>
          </w:p>
        </w:tc>
        <w:tc>
          <w:tcPr>
            <w:tcW w:w="1719" w:type="dxa"/>
            <w:gridSpan w:val="2"/>
            <w:noWrap w:val="0"/>
            <w:vAlign w:val="center"/>
          </w:tcPr>
          <w:p w14:paraId="1CC81A4D">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17B260CA">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职 务</w:t>
            </w:r>
          </w:p>
        </w:tc>
        <w:tc>
          <w:tcPr>
            <w:tcW w:w="2011" w:type="dxa"/>
            <w:noWrap w:val="0"/>
            <w:vAlign w:val="center"/>
          </w:tcPr>
          <w:p w14:paraId="44E04078">
            <w:pPr>
              <w:widowControl/>
              <w:spacing w:line="288" w:lineRule="auto"/>
              <w:jc w:val="center"/>
              <w:rPr>
                <w:rFonts w:ascii="宋体" w:hAnsi="宋体"/>
                <w:color w:val="auto"/>
                <w:kern w:val="0"/>
                <w:sz w:val="21"/>
                <w:szCs w:val="21"/>
                <w:highlight w:val="none"/>
              </w:rPr>
            </w:pPr>
          </w:p>
        </w:tc>
      </w:tr>
      <w:tr w14:paraId="01E3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18" w:type="dxa"/>
            <w:noWrap w:val="0"/>
            <w:vAlign w:val="center"/>
          </w:tcPr>
          <w:p w14:paraId="5793BB95">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电    话</w:t>
            </w:r>
          </w:p>
        </w:tc>
        <w:tc>
          <w:tcPr>
            <w:tcW w:w="1825" w:type="dxa"/>
            <w:noWrap w:val="0"/>
            <w:vAlign w:val="center"/>
          </w:tcPr>
          <w:p w14:paraId="1C69E511">
            <w:pPr>
              <w:widowControl/>
              <w:spacing w:line="288" w:lineRule="auto"/>
              <w:jc w:val="center"/>
              <w:rPr>
                <w:rFonts w:ascii="宋体" w:hAnsi="宋体"/>
                <w:color w:val="auto"/>
                <w:kern w:val="0"/>
                <w:sz w:val="21"/>
                <w:szCs w:val="21"/>
                <w:highlight w:val="none"/>
              </w:rPr>
            </w:pPr>
          </w:p>
        </w:tc>
        <w:tc>
          <w:tcPr>
            <w:tcW w:w="1414" w:type="dxa"/>
            <w:noWrap w:val="0"/>
            <w:vAlign w:val="center"/>
          </w:tcPr>
          <w:p w14:paraId="4868F2E4">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手机</w:t>
            </w:r>
          </w:p>
        </w:tc>
        <w:tc>
          <w:tcPr>
            <w:tcW w:w="1719" w:type="dxa"/>
            <w:gridSpan w:val="2"/>
            <w:noWrap w:val="0"/>
            <w:vAlign w:val="center"/>
          </w:tcPr>
          <w:p w14:paraId="0F2FA5A2">
            <w:pPr>
              <w:widowControl/>
              <w:spacing w:line="288" w:lineRule="auto"/>
              <w:jc w:val="center"/>
              <w:rPr>
                <w:rFonts w:ascii="宋体" w:hAnsi="宋体"/>
                <w:color w:val="auto"/>
                <w:kern w:val="0"/>
                <w:sz w:val="21"/>
                <w:szCs w:val="21"/>
                <w:highlight w:val="none"/>
              </w:rPr>
            </w:pPr>
          </w:p>
        </w:tc>
        <w:tc>
          <w:tcPr>
            <w:tcW w:w="1111" w:type="dxa"/>
            <w:gridSpan w:val="2"/>
            <w:noWrap w:val="0"/>
            <w:vAlign w:val="center"/>
          </w:tcPr>
          <w:p w14:paraId="2232398D">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传 真</w:t>
            </w:r>
          </w:p>
        </w:tc>
        <w:tc>
          <w:tcPr>
            <w:tcW w:w="2011" w:type="dxa"/>
            <w:noWrap w:val="0"/>
            <w:vAlign w:val="center"/>
          </w:tcPr>
          <w:p w14:paraId="785D8076">
            <w:pPr>
              <w:widowControl/>
              <w:spacing w:line="288" w:lineRule="auto"/>
              <w:jc w:val="center"/>
              <w:rPr>
                <w:rFonts w:ascii="宋体" w:hAnsi="宋体"/>
                <w:color w:val="auto"/>
                <w:kern w:val="0"/>
                <w:sz w:val="21"/>
                <w:szCs w:val="21"/>
                <w:highlight w:val="none"/>
              </w:rPr>
            </w:pPr>
          </w:p>
        </w:tc>
      </w:tr>
      <w:tr w14:paraId="2ACB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718" w:type="dxa"/>
            <w:noWrap w:val="0"/>
            <w:vAlign w:val="center"/>
          </w:tcPr>
          <w:p w14:paraId="16BE96F7">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主营业务介绍</w:t>
            </w:r>
          </w:p>
        </w:tc>
        <w:tc>
          <w:tcPr>
            <w:tcW w:w="8080" w:type="dxa"/>
            <w:gridSpan w:val="7"/>
            <w:noWrap w:val="0"/>
            <w:vAlign w:val="center"/>
          </w:tcPr>
          <w:p w14:paraId="7E6895F9">
            <w:pPr>
              <w:widowControl/>
              <w:spacing w:line="288" w:lineRule="auto"/>
              <w:rPr>
                <w:rFonts w:ascii="宋体" w:hAnsi="宋体"/>
                <w:color w:val="auto"/>
                <w:kern w:val="0"/>
                <w:sz w:val="21"/>
                <w:szCs w:val="21"/>
                <w:highlight w:val="none"/>
              </w:rPr>
            </w:pPr>
          </w:p>
        </w:tc>
      </w:tr>
      <w:tr w14:paraId="7DD9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18" w:type="dxa"/>
            <w:vMerge w:val="restart"/>
            <w:noWrap w:val="0"/>
            <w:vAlign w:val="center"/>
          </w:tcPr>
          <w:p w14:paraId="3088281E">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单位概况</w:t>
            </w:r>
          </w:p>
        </w:tc>
        <w:tc>
          <w:tcPr>
            <w:tcW w:w="1825" w:type="dxa"/>
            <w:noWrap w:val="0"/>
            <w:vAlign w:val="center"/>
          </w:tcPr>
          <w:p w14:paraId="6AA4A16B">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注册资本（万元）</w:t>
            </w:r>
          </w:p>
        </w:tc>
        <w:tc>
          <w:tcPr>
            <w:tcW w:w="1938" w:type="dxa"/>
            <w:gridSpan w:val="2"/>
            <w:noWrap w:val="0"/>
            <w:vAlign w:val="center"/>
          </w:tcPr>
          <w:p w14:paraId="2F47F92C">
            <w:pPr>
              <w:widowControl/>
              <w:spacing w:line="288" w:lineRule="auto"/>
              <w:jc w:val="right"/>
              <w:rPr>
                <w:rFonts w:ascii="宋体" w:hAnsi="宋体"/>
                <w:color w:val="auto"/>
                <w:kern w:val="0"/>
                <w:sz w:val="21"/>
                <w:szCs w:val="21"/>
                <w:highlight w:val="none"/>
              </w:rPr>
            </w:pPr>
          </w:p>
        </w:tc>
        <w:tc>
          <w:tcPr>
            <w:tcW w:w="1662" w:type="dxa"/>
            <w:gridSpan w:val="2"/>
            <w:noWrap w:val="0"/>
            <w:vAlign w:val="center"/>
          </w:tcPr>
          <w:p w14:paraId="07B23AA7">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占地面积（M</w:t>
            </w:r>
            <w:r>
              <w:rPr>
                <w:rFonts w:ascii="宋体" w:hAnsi="宋体"/>
                <w:b/>
                <w:color w:val="auto"/>
                <w:kern w:val="0"/>
                <w:sz w:val="21"/>
                <w:szCs w:val="21"/>
                <w:highlight w:val="none"/>
                <w:vertAlign w:val="superscript"/>
              </w:rPr>
              <w:t>2</w:t>
            </w:r>
            <w:r>
              <w:rPr>
                <w:rFonts w:ascii="宋体" w:hAnsi="宋体"/>
                <w:b/>
                <w:color w:val="auto"/>
                <w:kern w:val="0"/>
                <w:sz w:val="21"/>
                <w:szCs w:val="21"/>
                <w:highlight w:val="none"/>
              </w:rPr>
              <w:t>）</w:t>
            </w:r>
          </w:p>
        </w:tc>
        <w:tc>
          <w:tcPr>
            <w:tcW w:w="2655" w:type="dxa"/>
            <w:gridSpan w:val="2"/>
            <w:noWrap w:val="0"/>
            <w:vAlign w:val="center"/>
          </w:tcPr>
          <w:p w14:paraId="678B1E76">
            <w:pPr>
              <w:widowControl/>
              <w:spacing w:line="288" w:lineRule="auto"/>
              <w:jc w:val="center"/>
              <w:rPr>
                <w:rFonts w:ascii="宋体" w:hAnsi="宋体"/>
                <w:color w:val="auto"/>
                <w:kern w:val="0"/>
                <w:sz w:val="21"/>
                <w:szCs w:val="21"/>
                <w:highlight w:val="none"/>
              </w:rPr>
            </w:pPr>
          </w:p>
        </w:tc>
      </w:tr>
      <w:tr w14:paraId="0629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18" w:type="dxa"/>
            <w:vMerge w:val="continue"/>
            <w:noWrap w:val="0"/>
            <w:vAlign w:val="center"/>
          </w:tcPr>
          <w:p w14:paraId="005A405D">
            <w:pPr>
              <w:widowControl/>
              <w:spacing w:line="288" w:lineRule="auto"/>
              <w:jc w:val="center"/>
              <w:rPr>
                <w:rFonts w:ascii="宋体" w:hAnsi="宋体"/>
                <w:b/>
                <w:color w:val="auto"/>
                <w:kern w:val="0"/>
                <w:sz w:val="21"/>
                <w:szCs w:val="21"/>
                <w:highlight w:val="none"/>
              </w:rPr>
            </w:pPr>
          </w:p>
        </w:tc>
        <w:tc>
          <w:tcPr>
            <w:tcW w:w="1825" w:type="dxa"/>
            <w:noWrap w:val="0"/>
            <w:vAlign w:val="center"/>
          </w:tcPr>
          <w:p w14:paraId="26D2205B">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职工总数（人）</w:t>
            </w:r>
          </w:p>
        </w:tc>
        <w:tc>
          <w:tcPr>
            <w:tcW w:w="1938" w:type="dxa"/>
            <w:gridSpan w:val="2"/>
            <w:noWrap w:val="0"/>
            <w:vAlign w:val="center"/>
          </w:tcPr>
          <w:p w14:paraId="7F97E8C2">
            <w:pPr>
              <w:widowControl/>
              <w:spacing w:line="288" w:lineRule="auto"/>
              <w:jc w:val="right"/>
              <w:rPr>
                <w:rFonts w:ascii="宋体" w:hAnsi="宋体"/>
                <w:color w:val="auto"/>
                <w:kern w:val="0"/>
                <w:sz w:val="21"/>
                <w:szCs w:val="21"/>
                <w:highlight w:val="none"/>
              </w:rPr>
            </w:pPr>
          </w:p>
        </w:tc>
        <w:tc>
          <w:tcPr>
            <w:tcW w:w="1662" w:type="dxa"/>
            <w:gridSpan w:val="2"/>
            <w:noWrap w:val="0"/>
            <w:vAlign w:val="center"/>
          </w:tcPr>
          <w:p w14:paraId="62415BDB">
            <w:pPr>
              <w:widowControl/>
              <w:spacing w:line="288" w:lineRule="auto"/>
              <w:jc w:val="center"/>
              <w:rPr>
                <w:rFonts w:ascii="宋体" w:hAnsi="宋体"/>
                <w:b/>
                <w:color w:val="auto"/>
                <w:kern w:val="0"/>
                <w:sz w:val="21"/>
                <w:szCs w:val="21"/>
                <w:highlight w:val="none"/>
              </w:rPr>
            </w:pPr>
            <w:r>
              <w:rPr>
                <w:rFonts w:ascii="宋体" w:hAnsi="宋体"/>
                <w:b/>
                <w:color w:val="auto"/>
                <w:kern w:val="0"/>
                <w:sz w:val="21"/>
                <w:szCs w:val="21"/>
                <w:highlight w:val="none"/>
              </w:rPr>
              <w:t>建筑面积（M</w:t>
            </w:r>
            <w:r>
              <w:rPr>
                <w:rFonts w:ascii="宋体" w:hAnsi="宋体"/>
                <w:b/>
                <w:color w:val="auto"/>
                <w:kern w:val="0"/>
                <w:sz w:val="21"/>
                <w:szCs w:val="21"/>
                <w:highlight w:val="none"/>
                <w:vertAlign w:val="superscript"/>
              </w:rPr>
              <w:t>2</w:t>
            </w:r>
            <w:r>
              <w:rPr>
                <w:rFonts w:ascii="宋体" w:hAnsi="宋体"/>
                <w:b/>
                <w:color w:val="auto"/>
                <w:kern w:val="0"/>
                <w:sz w:val="21"/>
                <w:szCs w:val="21"/>
                <w:highlight w:val="none"/>
              </w:rPr>
              <w:t>）</w:t>
            </w:r>
          </w:p>
        </w:tc>
        <w:tc>
          <w:tcPr>
            <w:tcW w:w="2655" w:type="dxa"/>
            <w:gridSpan w:val="2"/>
            <w:noWrap w:val="0"/>
            <w:vAlign w:val="center"/>
          </w:tcPr>
          <w:p w14:paraId="07E500E5">
            <w:pPr>
              <w:widowControl/>
              <w:spacing w:line="288" w:lineRule="auto"/>
              <w:jc w:val="center"/>
              <w:rPr>
                <w:rFonts w:ascii="宋体" w:hAnsi="宋体"/>
                <w:color w:val="auto"/>
                <w:kern w:val="0"/>
                <w:sz w:val="21"/>
                <w:szCs w:val="21"/>
                <w:highlight w:val="none"/>
              </w:rPr>
            </w:pPr>
          </w:p>
        </w:tc>
      </w:tr>
      <w:tr w14:paraId="3D2D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718" w:type="dxa"/>
            <w:noWrap w:val="0"/>
            <w:vAlign w:val="center"/>
          </w:tcPr>
          <w:p w14:paraId="6A5A487D">
            <w:pPr>
              <w:spacing w:line="288" w:lineRule="auto"/>
              <w:jc w:val="center"/>
              <w:rPr>
                <w:rFonts w:ascii="宋体" w:hAnsi="宋体"/>
                <w:b/>
                <w:color w:val="auto"/>
                <w:sz w:val="21"/>
                <w:szCs w:val="21"/>
                <w:highlight w:val="none"/>
              </w:rPr>
            </w:pPr>
            <w:r>
              <w:rPr>
                <w:rFonts w:ascii="宋体" w:hAnsi="宋体"/>
                <w:b/>
                <w:color w:val="auto"/>
                <w:sz w:val="21"/>
                <w:szCs w:val="21"/>
                <w:highlight w:val="none"/>
              </w:rPr>
              <w:t>服务机构</w:t>
            </w:r>
          </w:p>
          <w:p w14:paraId="751EACE1">
            <w:pPr>
              <w:spacing w:line="288" w:lineRule="auto"/>
              <w:jc w:val="center"/>
              <w:rPr>
                <w:rFonts w:hint="eastAsia" w:ascii="宋体" w:hAnsi="宋体"/>
                <w:b/>
                <w:color w:val="auto"/>
                <w:sz w:val="21"/>
                <w:szCs w:val="21"/>
                <w:highlight w:val="none"/>
              </w:rPr>
            </w:pPr>
            <w:r>
              <w:rPr>
                <w:rFonts w:ascii="宋体" w:hAnsi="宋体"/>
                <w:b/>
                <w:color w:val="auto"/>
                <w:sz w:val="21"/>
                <w:szCs w:val="21"/>
                <w:highlight w:val="none"/>
              </w:rPr>
              <w:t>（最接近采购人的地址）</w:t>
            </w:r>
          </w:p>
        </w:tc>
        <w:tc>
          <w:tcPr>
            <w:tcW w:w="8080" w:type="dxa"/>
            <w:gridSpan w:val="7"/>
            <w:noWrap w:val="0"/>
            <w:vAlign w:val="center"/>
          </w:tcPr>
          <w:p w14:paraId="6D0AA222">
            <w:pPr>
              <w:spacing w:line="288" w:lineRule="auto"/>
              <w:rPr>
                <w:rFonts w:ascii="宋体" w:hAnsi="宋体"/>
                <w:color w:val="auto"/>
                <w:sz w:val="21"/>
                <w:szCs w:val="21"/>
                <w:highlight w:val="none"/>
              </w:rPr>
            </w:pPr>
            <w:r>
              <w:rPr>
                <w:rFonts w:ascii="宋体" w:hAnsi="宋体"/>
                <w:color w:val="auto"/>
                <w:sz w:val="21"/>
                <w:szCs w:val="21"/>
                <w:highlight w:val="none"/>
              </w:rPr>
              <w:t>机构名称：</w:t>
            </w:r>
          </w:p>
          <w:p w14:paraId="3A9BAE3F">
            <w:pPr>
              <w:spacing w:line="288" w:lineRule="auto"/>
              <w:rPr>
                <w:rFonts w:ascii="宋体" w:hAnsi="宋体"/>
                <w:color w:val="auto"/>
                <w:sz w:val="21"/>
                <w:szCs w:val="21"/>
                <w:highlight w:val="none"/>
              </w:rPr>
            </w:pPr>
            <w:r>
              <w:rPr>
                <w:rFonts w:ascii="宋体" w:hAnsi="宋体"/>
                <w:color w:val="auto"/>
                <w:sz w:val="21"/>
                <w:szCs w:val="21"/>
                <w:highlight w:val="none"/>
              </w:rPr>
              <w:t>地    址：</w:t>
            </w:r>
          </w:p>
          <w:p w14:paraId="4AA07055">
            <w:pPr>
              <w:spacing w:line="288" w:lineRule="auto"/>
              <w:rPr>
                <w:rFonts w:ascii="宋体" w:hAnsi="宋体"/>
                <w:color w:val="auto"/>
                <w:sz w:val="21"/>
                <w:szCs w:val="21"/>
                <w:highlight w:val="none"/>
              </w:rPr>
            </w:pPr>
            <w:r>
              <w:rPr>
                <w:rFonts w:ascii="宋体" w:hAnsi="宋体"/>
                <w:color w:val="auto"/>
                <w:sz w:val="21"/>
                <w:szCs w:val="21"/>
                <w:highlight w:val="none"/>
              </w:rPr>
              <w:t>负 责 人：</w:t>
            </w:r>
          </w:p>
          <w:p w14:paraId="24DA8896">
            <w:pPr>
              <w:spacing w:line="288" w:lineRule="auto"/>
              <w:rPr>
                <w:rFonts w:ascii="宋体" w:hAnsi="宋体"/>
                <w:color w:val="auto"/>
                <w:sz w:val="21"/>
                <w:szCs w:val="21"/>
                <w:highlight w:val="none"/>
              </w:rPr>
            </w:pPr>
            <w:r>
              <w:rPr>
                <w:rFonts w:ascii="宋体" w:hAnsi="宋体"/>
                <w:color w:val="auto"/>
                <w:sz w:val="21"/>
                <w:szCs w:val="21"/>
                <w:highlight w:val="none"/>
              </w:rPr>
              <w:t>服务机构性质：企业自有 /委托/ 合作代理</w:t>
            </w:r>
          </w:p>
          <w:p w14:paraId="3167C57E">
            <w:pPr>
              <w:spacing w:line="288" w:lineRule="auto"/>
              <w:jc w:val="left"/>
              <w:rPr>
                <w:rFonts w:ascii="宋体" w:hAnsi="宋体"/>
                <w:color w:val="auto"/>
                <w:kern w:val="0"/>
                <w:sz w:val="21"/>
                <w:szCs w:val="21"/>
                <w:highlight w:val="none"/>
              </w:rPr>
            </w:pPr>
            <w:r>
              <w:rPr>
                <w:rFonts w:ascii="宋体" w:hAnsi="宋体"/>
                <w:color w:val="auto"/>
                <w:kern w:val="0"/>
                <w:sz w:val="21"/>
                <w:szCs w:val="21"/>
                <w:highlight w:val="none"/>
              </w:rPr>
              <w:t>联系电话：</w:t>
            </w:r>
          </w:p>
          <w:p w14:paraId="23F054C7">
            <w:pPr>
              <w:spacing w:line="288" w:lineRule="auto"/>
              <w:rPr>
                <w:rFonts w:ascii="宋体" w:hAnsi="宋体"/>
                <w:color w:val="auto"/>
                <w:sz w:val="21"/>
                <w:szCs w:val="21"/>
                <w:highlight w:val="none"/>
              </w:rPr>
            </w:pPr>
            <w:r>
              <w:rPr>
                <w:rFonts w:ascii="宋体" w:hAnsi="宋体"/>
                <w:color w:val="auto"/>
                <w:kern w:val="0"/>
                <w:sz w:val="21"/>
                <w:szCs w:val="21"/>
                <w:highlight w:val="none"/>
              </w:rPr>
              <w:t>传    真：</w:t>
            </w:r>
          </w:p>
        </w:tc>
      </w:tr>
      <w:tr w14:paraId="08E3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1718" w:type="dxa"/>
            <w:noWrap w:val="0"/>
            <w:vAlign w:val="center"/>
          </w:tcPr>
          <w:p w14:paraId="4B74C528">
            <w:pPr>
              <w:spacing w:line="288" w:lineRule="auto"/>
              <w:jc w:val="center"/>
              <w:rPr>
                <w:rFonts w:ascii="宋体" w:hAnsi="宋体"/>
                <w:b/>
                <w:color w:val="auto"/>
                <w:sz w:val="21"/>
                <w:szCs w:val="21"/>
                <w:highlight w:val="none"/>
              </w:rPr>
            </w:pPr>
            <w:r>
              <w:rPr>
                <w:rFonts w:ascii="宋体" w:hAnsi="宋体"/>
                <w:b/>
                <w:color w:val="auto"/>
                <w:sz w:val="21"/>
                <w:szCs w:val="21"/>
                <w:highlight w:val="none"/>
              </w:rPr>
              <w:t>单位简介及机构设置</w:t>
            </w:r>
          </w:p>
        </w:tc>
        <w:tc>
          <w:tcPr>
            <w:tcW w:w="8080" w:type="dxa"/>
            <w:gridSpan w:val="7"/>
            <w:noWrap w:val="0"/>
            <w:vAlign w:val="center"/>
          </w:tcPr>
          <w:p w14:paraId="4BE52C5B">
            <w:pPr>
              <w:tabs>
                <w:tab w:val="left" w:pos="540"/>
              </w:tabs>
              <w:snapToGrid w:val="0"/>
              <w:spacing w:line="288" w:lineRule="auto"/>
              <w:rPr>
                <w:rFonts w:ascii="宋体" w:hAnsi="宋体"/>
                <w:color w:val="auto"/>
                <w:sz w:val="21"/>
                <w:szCs w:val="21"/>
                <w:highlight w:val="none"/>
                <w:lang w:val="en-GB"/>
              </w:rPr>
            </w:pPr>
          </w:p>
          <w:p w14:paraId="7E444ED3">
            <w:pPr>
              <w:tabs>
                <w:tab w:val="left" w:pos="540"/>
              </w:tabs>
              <w:snapToGrid w:val="0"/>
              <w:spacing w:line="288" w:lineRule="auto"/>
              <w:rPr>
                <w:rFonts w:ascii="宋体" w:hAnsi="宋体"/>
                <w:color w:val="auto"/>
                <w:sz w:val="21"/>
                <w:szCs w:val="21"/>
                <w:highlight w:val="none"/>
                <w:lang w:val="en-GB"/>
              </w:rPr>
            </w:pPr>
          </w:p>
          <w:p w14:paraId="54D11E4E">
            <w:pPr>
              <w:tabs>
                <w:tab w:val="left" w:pos="540"/>
              </w:tabs>
              <w:snapToGrid w:val="0"/>
              <w:spacing w:line="288" w:lineRule="auto"/>
              <w:rPr>
                <w:rFonts w:ascii="宋体" w:hAnsi="宋体"/>
                <w:color w:val="auto"/>
                <w:sz w:val="21"/>
                <w:szCs w:val="21"/>
                <w:highlight w:val="none"/>
                <w:lang w:val="en-GB"/>
              </w:rPr>
            </w:pPr>
          </w:p>
          <w:p w14:paraId="23B32E42">
            <w:pPr>
              <w:tabs>
                <w:tab w:val="left" w:pos="540"/>
              </w:tabs>
              <w:snapToGrid w:val="0"/>
              <w:spacing w:line="288" w:lineRule="auto"/>
              <w:rPr>
                <w:rFonts w:hint="eastAsia" w:ascii="宋体" w:hAnsi="宋体"/>
                <w:color w:val="auto"/>
                <w:sz w:val="21"/>
                <w:szCs w:val="21"/>
                <w:highlight w:val="none"/>
                <w:lang w:val="en-GB"/>
              </w:rPr>
            </w:pPr>
          </w:p>
          <w:p w14:paraId="58040BE8">
            <w:pPr>
              <w:tabs>
                <w:tab w:val="left" w:pos="540"/>
              </w:tabs>
              <w:snapToGrid w:val="0"/>
              <w:spacing w:line="288" w:lineRule="auto"/>
              <w:rPr>
                <w:rFonts w:ascii="宋体" w:hAnsi="宋体"/>
                <w:b/>
                <w:color w:val="auto"/>
                <w:sz w:val="21"/>
                <w:szCs w:val="21"/>
                <w:highlight w:val="none"/>
                <w:lang w:val="en-GB"/>
              </w:rPr>
            </w:pPr>
            <w:r>
              <w:rPr>
                <w:rFonts w:ascii="宋体" w:hAnsi="宋体"/>
                <w:b/>
                <w:color w:val="auto"/>
                <w:sz w:val="21"/>
                <w:szCs w:val="21"/>
                <w:highlight w:val="none"/>
                <w:lang w:val="en-GB"/>
              </w:rPr>
              <w:t>本项说明（本说明文字在填表时可删除）：</w:t>
            </w:r>
          </w:p>
          <w:p w14:paraId="643B13D1">
            <w:pPr>
              <w:tabs>
                <w:tab w:val="left" w:pos="540"/>
              </w:tabs>
              <w:snapToGrid w:val="0"/>
              <w:spacing w:line="288" w:lineRule="auto"/>
              <w:ind w:left="210" w:hanging="210" w:hangingChars="100"/>
              <w:rPr>
                <w:rFonts w:ascii="宋体" w:hAnsi="宋体"/>
                <w:color w:val="auto"/>
                <w:sz w:val="21"/>
                <w:szCs w:val="21"/>
                <w:highlight w:val="none"/>
                <w:lang w:val="en-GB"/>
              </w:rPr>
            </w:pPr>
            <w:r>
              <w:rPr>
                <w:rFonts w:hint="eastAsia" w:ascii="宋体" w:hAnsi="宋体"/>
                <w:color w:val="auto"/>
                <w:sz w:val="21"/>
                <w:szCs w:val="21"/>
                <w:highlight w:val="none"/>
                <w:lang w:val="en-GB"/>
              </w:rPr>
              <w:t>1.简要表述：企业性质、发展历程、组织结构及服务理念、主营业务、经营规模、技术力量、管理体系制度和监管机制等；</w:t>
            </w:r>
          </w:p>
          <w:p w14:paraId="5C6B400B">
            <w:pPr>
              <w:tabs>
                <w:tab w:val="left" w:pos="540"/>
              </w:tabs>
              <w:snapToGrid w:val="0"/>
              <w:spacing w:line="288" w:lineRule="auto"/>
              <w:rPr>
                <w:rFonts w:hint="eastAsia" w:ascii="宋体" w:hAnsi="宋体"/>
                <w:color w:val="auto"/>
                <w:sz w:val="21"/>
                <w:szCs w:val="21"/>
                <w:highlight w:val="none"/>
                <w:lang w:val="en-GB"/>
              </w:rPr>
            </w:pPr>
            <w:r>
              <w:rPr>
                <w:rFonts w:ascii="宋体" w:hAnsi="宋体"/>
                <w:color w:val="auto"/>
                <w:sz w:val="21"/>
                <w:szCs w:val="21"/>
                <w:highlight w:val="none"/>
                <w:lang w:val="en-GB"/>
              </w:rPr>
              <w:t>2</w:t>
            </w:r>
            <w:r>
              <w:rPr>
                <w:rFonts w:hint="eastAsia" w:ascii="宋体" w:hAnsi="宋体"/>
                <w:color w:val="auto"/>
                <w:sz w:val="21"/>
                <w:szCs w:val="21"/>
                <w:highlight w:val="none"/>
                <w:lang w:val="en-GB"/>
              </w:rPr>
              <w:t>.若内容不够填写，可随表另附文字内容描述；</w:t>
            </w:r>
          </w:p>
          <w:p w14:paraId="658A8C01">
            <w:pPr>
              <w:spacing w:line="288"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lang w:val="en-GB"/>
              </w:rPr>
              <w:t>3.自述内容必须充分体现企业现阶段的发展情况，体现出企业管理特有的个性化、特色化和差异化管理措施等。</w:t>
            </w:r>
          </w:p>
        </w:tc>
      </w:tr>
    </w:tbl>
    <w:p w14:paraId="60E54669">
      <w:pPr>
        <w:spacing w:line="360" w:lineRule="auto"/>
        <w:rPr>
          <w:rFonts w:hint="eastAsia" w:ascii="宋体" w:hAnsi="宋体"/>
          <w:color w:val="auto"/>
          <w:highlight w:val="none"/>
          <w:lang w:val="en-GB"/>
        </w:rPr>
      </w:pPr>
    </w:p>
    <w:p w14:paraId="66EB73BA">
      <w:pPr>
        <w:spacing w:line="360" w:lineRule="auto"/>
        <w:rPr>
          <w:rFonts w:ascii="宋体" w:hAnsi="宋体"/>
          <w:color w:val="auto"/>
          <w:highlight w:val="none"/>
          <w:lang w:val="en-GB"/>
        </w:rPr>
      </w:pPr>
      <w:r>
        <w:rPr>
          <w:rFonts w:ascii="宋体" w:hAnsi="宋体"/>
          <w:color w:val="auto"/>
          <w:highlight w:val="none"/>
          <w:lang w:val="en-GB"/>
        </w:rPr>
        <w:br w:type="page"/>
      </w:r>
    </w:p>
    <w:p w14:paraId="15112AA5">
      <w:pPr>
        <w:pStyle w:val="4"/>
        <w:spacing w:after="156" w:afterLines="50"/>
        <w:ind w:left="720"/>
        <w:jc w:val="center"/>
        <w:rPr>
          <w:color w:val="auto"/>
          <w:sz w:val="32"/>
          <w:highlight w:val="none"/>
        </w:rPr>
      </w:pPr>
      <w:r>
        <w:rPr>
          <w:rFonts w:hint="eastAsia"/>
          <w:color w:val="auto"/>
          <w:sz w:val="32"/>
          <w:highlight w:val="none"/>
        </w:rPr>
        <w:t>4.</w:t>
      </w:r>
      <w:r>
        <w:rPr>
          <w:color w:val="auto"/>
          <w:sz w:val="32"/>
          <w:highlight w:val="none"/>
        </w:rPr>
        <w:t>3</w:t>
      </w:r>
      <w:r>
        <w:rPr>
          <w:rFonts w:hint="eastAsia"/>
          <w:color w:val="auto"/>
          <w:sz w:val="32"/>
          <w:highlight w:val="none"/>
        </w:rPr>
        <w:t xml:space="preserve"> 供应商所获资质、荣誉及其他证书的情况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696"/>
        <w:gridCol w:w="2126"/>
        <w:gridCol w:w="1985"/>
        <w:gridCol w:w="1090"/>
      </w:tblGrid>
      <w:tr w14:paraId="5B63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7" w:type="dxa"/>
            <w:shd w:val="clear" w:color="auto" w:fill="F3F3F3"/>
            <w:noWrap w:val="0"/>
            <w:vAlign w:val="center"/>
          </w:tcPr>
          <w:p w14:paraId="5FB8198D">
            <w:pPr>
              <w:tabs>
                <w:tab w:val="left" w:pos="540"/>
              </w:tabs>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3696" w:type="dxa"/>
            <w:shd w:val="clear" w:color="auto" w:fill="F3F3F3"/>
            <w:noWrap w:val="0"/>
            <w:vAlign w:val="center"/>
          </w:tcPr>
          <w:p w14:paraId="4EB00A4E">
            <w:pPr>
              <w:tabs>
                <w:tab w:val="left" w:pos="540"/>
              </w:tabs>
              <w:jc w:val="center"/>
              <w:rPr>
                <w:rFonts w:hint="eastAsia" w:ascii="宋体" w:hAnsi="宋体"/>
                <w:b/>
                <w:color w:val="auto"/>
                <w:sz w:val="21"/>
                <w:szCs w:val="21"/>
                <w:highlight w:val="none"/>
              </w:rPr>
            </w:pPr>
            <w:r>
              <w:rPr>
                <w:rFonts w:hint="eastAsia" w:ascii="宋体" w:hAnsi="宋体"/>
                <w:b/>
                <w:color w:val="auto"/>
                <w:sz w:val="21"/>
                <w:szCs w:val="21"/>
                <w:highlight w:val="none"/>
              </w:rPr>
              <w:t>资质、荣誉及其他证书名称</w:t>
            </w:r>
          </w:p>
        </w:tc>
        <w:tc>
          <w:tcPr>
            <w:tcW w:w="2126" w:type="dxa"/>
            <w:shd w:val="clear" w:color="auto" w:fill="F3F3F3"/>
            <w:noWrap w:val="0"/>
            <w:vAlign w:val="center"/>
          </w:tcPr>
          <w:p w14:paraId="506F92B1">
            <w:pPr>
              <w:tabs>
                <w:tab w:val="left" w:pos="540"/>
              </w:tabs>
              <w:ind w:left="-74" w:leftChars="-31" w:right="-74" w:rightChars="-31"/>
              <w:jc w:val="center"/>
              <w:rPr>
                <w:rFonts w:hint="eastAsia" w:ascii="宋体" w:hAnsi="宋体"/>
                <w:b/>
                <w:color w:val="auto"/>
                <w:sz w:val="21"/>
                <w:szCs w:val="21"/>
                <w:highlight w:val="none"/>
              </w:rPr>
            </w:pPr>
            <w:r>
              <w:rPr>
                <w:rFonts w:hint="eastAsia" w:ascii="宋体" w:hAnsi="宋体"/>
                <w:b/>
                <w:color w:val="auto"/>
                <w:sz w:val="21"/>
                <w:szCs w:val="21"/>
                <w:highlight w:val="none"/>
              </w:rPr>
              <w:t>发证日期/有效期</w:t>
            </w:r>
          </w:p>
        </w:tc>
        <w:tc>
          <w:tcPr>
            <w:tcW w:w="1985" w:type="dxa"/>
            <w:shd w:val="clear" w:color="auto" w:fill="F3F3F3"/>
            <w:noWrap w:val="0"/>
            <w:vAlign w:val="center"/>
          </w:tcPr>
          <w:p w14:paraId="11381612">
            <w:pPr>
              <w:tabs>
                <w:tab w:val="left" w:pos="540"/>
              </w:tabs>
              <w:jc w:val="center"/>
              <w:rPr>
                <w:rFonts w:hint="eastAsia" w:ascii="宋体" w:hAnsi="宋体"/>
                <w:b/>
                <w:color w:val="auto"/>
                <w:sz w:val="21"/>
                <w:szCs w:val="21"/>
                <w:highlight w:val="none"/>
              </w:rPr>
            </w:pPr>
            <w:r>
              <w:rPr>
                <w:rFonts w:hint="eastAsia" w:ascii="宋体" w:hAnsi="宋体"/>
                <w:b/>
                <w:color w:val="auto"/>
                <w:sz w:val="21"/>
                <w:szCs w:val="21"/>
                <w:highlight w:val="none"/>
              </w:rPr>
              <w:t>发证单位</w:t>
            </w:r>
          </w:p>
        </w:tc>
        <w:tc>
          <w:tcPr>
            <w:tcW w:w="1090" w:type="dxa"/>
            <w:shd w:val="clear" w:color="auto" w:fill="F3F3F3"/>
            <w:noWrap w:val="0"/>
            <w:vAlign w:val="center"/>
          </w:tcPr>
          <w:p w14:paraId="42ED3712">
            <w:pPr>
              <w:tabs>
                <w:tab w:val="left" w:pos="540"/>
              </w:tabs>
              <w:jc w:val="center"/>
              <w:rPr>
                <w:rFonts w:hint="eastAsia" w:ascii="宋体" w:hAnsi="宋体"/>
                <w:b/>
                <w:color w:val="auto"/>
                <w:sz w:val="21"/>
                <w:szCs w:val="21"/>
                <w:highlight w:val="none"/>
              </w:rPr>
            </w:pPr>
            <w:r>
              <w:rPr>
                <w:rFonts w:hint="eastAsia" w:ascii="宋体" w:hAnsi="宋体"/>
                <w:b/>
                <w:color w:val="auto"/>
                <w:sz w:val="21"/>
                <w:szCs w:val="21"/>
                <w:highlight w:val="none"/>
              </w:rPr>
              <w:t>证明材料所在页码</w:t>
            </w:r>
          </w:p>
        </w:tc>
      </w:tr>
      <w:tr w14:paraId="78E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noWrap w:val="0"/>
            <w:vAlign w:val="center"/>
          </w:tcPr>
          <w:p w14:paraId="70C2C54A">
            <w:pPr>
              <w:jc w:val="center"/>
              <w:rPr>
                <w:rFonts w:ascii="宋体" w:hAnsi="宋体"/>
                <w:color w:val="auto"/>
                <w:sz w:val="21"/>
                <w:highlight w:val="none"/>
              </w:rPr>
            </w:pPr>
            <w:r>
              <w:rPr>
                <w:rFonts w:ascii="宋体" w:hAnsi="宋体"/>
                <w:color w:val="auto"/>
                <w:sz w:val="21"/>
                <w:highlight w:val="none"/>
              </w:rPr>
              <w:t>1</w:t>
            </w:r>
          </w:p>
        </w:tc>
        <w:tc>
          <w:tcPr>
            <w:tcW w:w="3696" w:type="dxa"/>
            <w:noWrap w:val="0"/>
            <w:vAlign w:val="center"/>
          </w:tcPr>
          <w:p w14:paraId="4A4E3ABC">
            <w:pPr>
              <w:tabs>
                <w:tab w:val="left" w:pos="540"/>
              </w:tabs>
              <w:jc w:val="center"/>
              <w:rPr>
                <w:rFonts w:ascii="宋体" w:hAnsi="宋体"/>
                <w:color w:val="auto"/>
                <w:sz w:val="21"/>
                <w:szCs w:val="21"/>
                <w:highlight w:val="none"/>
              </w:rPr>
            </w:pPr>
          </w:p>
        </w:tc>
        <w:tc>
          <w:tcPr>
            <w:tcW w:w="2126" w:type="dxa"/>
            <w:noWrap w:val="0"/>
            <w:vAlign w:val="center"/>
          </w:tcPr>
          <w:p w14:paraId="1AA2D7D2">
            <w:pPr>
              <w:tabs>
                <w:tab w:val="left" w:pos="540"/>
              </w:tabs>
              <w:jc w:val="center"/>
              <w:rPr>
                <w:rFonts w:ascii="宋体" w:hAnsi="宋体"/>
                <w:color w:val="auto"/>
                <w:sz w:val="21"/>
                <w:szCs w:val="21"/>
                <w:highlight w:val="none"/>
              </w:rPr>
            </w:pPr>
          </w:p>
        </w:tc>
        <w:tc>
          <w:tcPr>
            <w:tcW w:w="1985" w:type="dxa"/>
            <w:noWrap w:val="0"/>
            <w:vAlign w:val="center"/>
          </w:tcPr>
          <w:p w14:paraId="625C486E">
            <w:pPr>
              <w:tabs>
                <w:tab w:val="left" w:pos="540"/>
              </w:tabs>
              <w:jc w:val="center"/>
              <w:rPr>
                <w:rFonts w:ascii="宋体" w:hAnsi="宋体"/>
                <w:color w:val="auto"/>
                <w:sz w:val="21"/>
                <w:szCs w:val="21"/>
                <w:highlight w:val="none"/>
              </w:rPr>
            </w:pPr>
          </w:p>
        </w:tc>
        <w:tc>
          <w:tcPr>
            <w:tcW w:w="1090" w:type="dxa"/>
            <w:noWrap w:val="0"/>
            <w:vAlign w:val="center"/>
          </w:tcPr>
          <w:p w14:paraId="2010B64F">
            <w:pPr>
              <w:tabs>
                <w:tab w:val="left" w:pos="540"/>
              </w:tabs>
              <w:jc w:val="center"/>
              <w:rPr>
                <w:rFonts w:hint="eastAsia" w:ascii="宋体" w:hAnsi="宋体"/>
                <w:color w:val="auto"/>
                <w:sz w:val="21"/>
                <w:szCs w:val="21"/>
                <w:highlight w:val="none"/>
              </w:rPr>
            </w:pPr>
          </w:p>
        </w:tc>
      </w:tr>
      <w:tr w14:paraId="2C3F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noWrap w:val="0"/>
            <w:vAlign w:val="center"/>
          </w:tcPr>
          <w:p w14:paraId="5F35478A">
            <w:pPr>
              <w:jc w:val="center"/>
              <w:rPr>
                <w:rFonts w:ascii="宋体" w:hAnsi="宋体"/>
                <w:color w:val="auto"/>
                <w:sz w:val="21"/>
                <w:highlight w:val="none"/>
              </w:rPr>
            </w:pPr>
            <w:r>
              <w:rPr>
                <w:rFonts w:ascii="宋体" w:hAnsi="宋体"/>
                <w:color w:val="auto"/>
                <w:sz w:val="21"/>
                <w:highlight w:val="none"/>
              </w:rPr>
              <w:t>2</w:t>
            </w:r>
          </w:p>
        </w:tc>
        <w:tc>
          <w:tcPr>
            <w:tcW w:w="3696" w:type="dxa"/>
            <w:noWrap w:val="0"/>
            <w:vAlign w:val="center"/>
          </w:tcPr>
          <w:p w14:paraId="19B9ED4A">
            <w:pPr>
              <w:tabs>
                <w:tab w:val="left" w:pos="540"/>
              </w:tabs>
              <w:jc w:val="center"/>
              <w:rPr>
                <w:rFonts w:ascii="宋体" w:hAnsi="宋体"/>
                <w:color w:val="auto"/>
                <w:sz w:val="21"/>
                <w:szCs w:val="21"/>
                <w:highlight w:val="none"/>
              </w:rPr>
            </w:pPr>
          </w:p>
        </w:tc>
        <w:tc>
          <w:tcPr>
            <w:tcW w:w="2126" w:type="dxa"/>
            <w:noWrap w:val="0"/>
            <w:vAlign w:val="center"/>
          </w:tcPr>
          <w:p w14:paraId="7534B5F0">
            <w:pPr>
              <w:tabs>
                <w:tab w:val="left" w:pos="540"/>
              </w:tabs>
              <w:jc w:val="center"/>
              <w:rPr>
                <w:rFonts w:ascii="宋体" w:hAnsi="宋体"/>
                <w:color w:val="auto"/>
                <w:sz w:val="21"/>
                <w:szCs w:val="21"/>
                <w:highlight w:val="none"/>
              </w:rPr>
            </w:pPr>
          </w:p>
        </w:tc>
        <w:tc>
          <w:tcPr>
            <w:tcW w:w="1985" w:type="dxa"/>
            <w:noWrap w:val="0"/>
            <w:vAlign w:val="center"/>
          </w:tcPr>
          <w:p w14:paraId="5FC7E929">
            <w:pPr>
              <w:tabs>
                <w:tab w:val="left" w:pos="540"/>
              </w:tabs>
              <w:jc w:val="center"/>
              <w:rPr>
                <w:rFonts w:ascii="宋体" w:hAnsi="宋体"/>
                <w:color w:val="auto"/>
                <w:sz w:val="21"/>
                <w:szCs w:val="21"/>
                <w:highlight w:val="none"/>
              </w:rPr>
            </w:pPr>
          </w:p>
        </w:tc>
        <w:tc>
          <w:tcPr>
            <w:tcW w:w="1090" w:type="dxa"/>
            <w:noWrap w:val="0"/>
            <w:vAlign w:val="center"/>
          </w:tcPr>
          <w:p w14:paraId="033BCBFE">
            <w:pPr>
              <w:tabs>
                <w:tab w:val="left" w:pos="540"/>
              </w:tabs>
              <w:jc w:val="center"/>
              <w:rPr>
                <w:rFonts w:hint="eastAsia" w:ascii="宋体" w:hAnsi="宋体"/>
                <w:color w:val="auto"/>
                <w:sz w:val="21"/>
                <w:szCs w:val="21"/>
                <w:highlight w:val="none"/>
                <w:u w:val="single"/>
              </w:rPr>
            </w:pPr>
          </w:p>
        </w:tc>
      </w:tr>
      <w:tr w14:paraId="1335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noWrap w:val="0"/>
            <w:vAlign w:val="center"/>
          </w:tcPr>
          <w:p w14:paraId="4B514BBD">
            <w:pPr>
              <w:jc w:val="center"/>
              <w:rPr>
                <w:rFonts w:ascii="宋体" w:hAnsi="宋体"/>
                <w:color w:val="auto"/>
                <w:sz w:val="21"/>
                <w:highlight w:val="none"/>
              </w:rPr>
            </w:pPr>
            <w:r>
              <w:rPr>
                <w:rFonts w:ascii="宋体" w:hAnsi="宋体"/>
                <w:color w:val="auto"/>
                <w:sz w:val="21"/>
                <w:highlight w:val="none"/>
              </w:rPr>
              <w:t>3</w:t>
            </w:r>
          </w:p>
        </w:tc>
        <w:tc>
          <w:tcPr>
            <w:tcW w:w="3696" w:type="dxa"/>
            <w:noWrap w:val="0"/>
            <w:vAlign w:val="center"/>
          </w:tcPr>
          <w:p w14:paraId="2EC0BA42">
            <w:pPr>
              <w:tabs>
                <w:tab w:val="left" w:pos="540"/>
              </w:tabs>
              <w:jc w:val="center"/>
              <w:rPr>
                <w:rFonts w:ascii="宋体" w:hAnsi="宋体"/>
                <w:color w:val="auto"/>
                <w:sz w:val="21"/>
                <w:szCs w:val="21"/>
                <w:highlight w:val="none"/>
              </w:rPr>
            </w:pPr>
          </w:p>
        </w:tc>
        <w:tc>
          <w:tcPr>
            <w:tcW w:w="2126" w:type="dxa"/>
            <w:noWrap w:val="0"/>
            <w:vAlign w:val="center"/>
          </w:tcPr>
          <w:p w14:paraId="51F19166">
            <w:pPr>
              <w:tabs>
                <w:tab w:val="left" w:pos="540"/>
              </w:tabs>
              <w:jc w:val="center"/>
              <w:rPr>
                <w:rFonts w:ascii="宋体" w:hAnsi="宋体"/>
                <w:color w:val="auto"/>
                <w:sz w:val="21"/>
                <w:szCs w:val="21"/>
                <w:highlight w:val="none"/>
              </w:rPr>
            </w:pPr>
          </w:p>
        </w:tc>
        <w:tc>
          <w:tcPr>
            <w:tcW w:w="1985" w:type="dxa"/>
            <w:noWrap w:val="0"/>
            <w:vAlign w:val="center"/>
          </w:tcPr>
          <w:p w14:paraId="5F8FA23C">
            <w:pPr>
              <w:tabs>
                <w:tab w:val="left" w:pos="540"/>
              </w:tabs>
              <w:jc w:val="center"/>
              <w:rPr>
                <w:rFonts w:ascii="宋体" w:hAnsi="宋体"/>
                <w:color w:val="auto"/>
                <w:sz w:val="21"/>
                <w:szCs w:val="21"/>
                <w:highlight w:val="none"/>
              </w:rPr>
            </w:pPr>
          </w:p>
        </w:tc>
        <w:tc>
          <w:tcPr>
            <w:tcW w:w="1090" w:type="dxa"/>
            <w:noWrap w:val="0"/>
            <w:vAlign w:val="center"/>
          </w:tcPr>
          <w:p w14:paraId="664B48C8">
            <w:pPr>
              <w:tabs>
                <w:tab w:val="left" w:pos="540"/>
              </w:tabs>
              <w:jc w:val="center"/>
              <w:rPr>
                <w:rFonts w:ascii="宋体" w:hAnsi="宋体"/>
                <w:color w:val="auto"/>
                <w:sz w:val="21"/>
                <w:szCs w:val="21"/>
                <w:highlight w:val="none"/>
              </w:rPr>
            </w:pPr>
          </w:p>
        </w:tc>
      </w:tr>
      <w:tr w14:paraId="4625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noWrap w:val="0"/>
            <w:vAlign w:val="center"/>
          </w:tcPr>
          <w:p w14:paraId="456C79B2">
            <w:pPr>
              <w:jc w:val="center"/>
              <w:rPr>
                <w:rFonts w:ascii="宋体" w:hAnsi="宋体"/>
                <w:color w:val="auto"/>
                <w:sz w:val="21"/>
                <w:szCs w:val="21"/>
                <w:highlight w:val="none"/>
              </w:rPr>
            </w:pPr>
            <w:r>
              <w:rPr>
                <w:rFonts w:ascii="宋体" w:hAnsi="宋体"/>
                <w:color w:val="auto"/>
                <w:sz w:val="21"/>
                <w:szCs w:val="21"/>
                <w:highlight w:val="none"/>
              </w:rPr>
              <w:t>…</w:t>
            </w:r>
          </w:p>
        </w:tc>
        <w:tc>
          <w:tcPr>
            <w:tcW w:w="3696" w:type="dxa"/>
            <w:noWrap w:val="0"/>
            <w:vAlign w:val="center"/>
          </w:tcPr>
          <w:p w14:paraId="1C97032F">
            <w:pPr>
              <w:tabs>
                <w:tab w:val="left" w:pos="540"/>
              </w:tabs>
              <w:jc w:val="center"/>
              <w:rPr>
                <w:rFonts w:ascii="宋体" w:hAnsi="宋体"/>
                <w:color w:val="auto"/>
                <w:sz w:val="21"/>
                <w:szCs w:val="21"/>
                <w:highlight w:val="none"/>
              </w:rPr>
            </w:pPr>
          </w:p>
        </w:tc>
        <w:tc>
          <w:tcPr>
            <w:tcW w:w="2126" w:type="dxa"/>
            <w:noWrap w:val="0"/>
            <w:vAlign w:val="center"/>
          </w:tcPr>
          <w:p w14:paraId="3EF70214">
            <w:pPr>
              <w:tabs>
                <w:tab w:val="left" w:pos="540"/>
              </w:tabs>
              <w:jc w:val="center"/>
              <w:rPr>
                <w:rFonts w:ascii="宋体" w:hAnsi="宋体"/>
                <w:color w:val="auto"/>
                <w:sz w:val="21"/>
                <w:szCs w:val="21"/>
                <w:highlight w:val="none"/>
              </w:rPr>
            </w:pPr>
          </w:p>
        </w:tc>
        <w:tc>
          <w:tcPr>
            <w:tcW w:w="1985" w:type="dxa"/>
            <w:noWrap w:val="0"/>
            <w:vAlign w:val="center"/>
          </w:tcPr>
          <w:p w14:paraId="7E40B892">
            <w:pPr>
              <w:tabs>
                <w:tab w:val="left" w:pos="540"/>
              </w:tabs>
              <w:jc w:val="center"/>
              <w:rPr>
                <w:rFonts w:ascii="宋体" w:hAnsi="宋体"/>
                <w:color w:val="auto"/>
                <w:sz w:val="21"/>
                <w:szCs w:val="21"/>
                <w:highlight w:val="none"/>
              </w:rPr>
            </w:pPr>
          </w:p>
        </w:tc>
        <w:tc>
          <w:tcPr>
            <w:tcW w:w="1090" w:type="dxa"/>
            <w:noWrap w:val="0"/>
            <w:vAlign w:val="center"/>
          </w:tcPr>
          <w:p w14:paraId="62049543">
            <w:pPr>
              <w:tabs>
                <w:tab w:val="left" w:pos="540"/>
              </w:tabs>
              <w:jc w:val="center"/>
              <w:rPr>
                <w:rFonts w:ascii="宋体" w:hAnsi="宋体"/>
                <w:color w:val="auto"/>
                <w:sz w:val="21"/>
                <w:szCs w:val="21"/>
                <w:highlight w:val="none"/>
              </w:rPr>
            </w:pPr>
          </w:p>
        </w:tc>
      </w:tr>
    </w:tbl>
    <w:p w14:paraId="2DA46E59">
      <w:pPr>
        <w:spacing w:line="312" w:lineRule="auto"/>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填表说明及要求，及本表附件（须附在本表格之后）：</w:t>
      </w:r>
    </w:p>
    <w:p w14:paraId="3CABBD29">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1.</w:t>
      </w:r>
      <w:r>
        <w:rPr>
          <w:rFonts w:ascii="宋体" w:hAnsi="宋体"/>
          <w:color w:val="auto"/>
          <w:sz w:val="21"/>
          <w:szCs w:val="21"/>
          <w:highlight w:val="none"/>
          <w:lang w:val="en-GB"/>
        </w:rPr>
        <w:t xml:space="preserve">  </w:t>
      </w:r>
      <w:r>
        <w:rPr>
          <w:rFonts w:hint="eastAsia" w:ascii="宋体" w:hAnsi="宋体"/>
          <w:color w:val="auto"/>
          <w:sz w:val="21"/>
          <w:szCs w:val="21"/>
          <w:highlight w:val="none"/>
          <w:lang w:val="en-GB"/>
        </w:rPr>
        <w:t>请在此表内填写供应商所获资质、荣誉及其他证书情况，并附上所属之证明文件；</w:t>
      </w:r>
    </w:p>
    <w:p w14:paraId="46B03ABF">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 xml:space="preserve">2. </w:t>
      </w:r>
      <w:r>
        <w:rPr>
          <w:rFonts w:ascii="宋体" w:hAnsi="宋体"/>
          <w:color w:val="auto"/>
          <w:sz w:val="21"/>
          <w:szCs w:val="21"/>
          <w:highlight w:val="none"/>
          <w:lang w:val="en-GB"/>
        </w:rPr>
        <w:t xml:space="preserve"> </w:t>
      </w:r>
      <w:r>
        <w:rPr>
          <w:rFonts w:hint="eastAsia" w:ascii="宋体" w:hAnsi="宋体"/>
          <w:color w:val="auto"/>
          <w:sz w:val="21"/>
          <w:szCs w:val="21"/>
          <w:highlight w:val="none"/>
          <w:lang w:val="en-GB"/>
        </w:rPr>
        <w:t>证明材料内容请参照本项目的评审子项要求，否则在评审时该项证明材料无效；</w:t>
      </w:r>
    </w:p>
    <w:p w14:paraId="00597168">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 xml:space="preserve">3. </w:t>
      </w:r>
      <w:r>
        <w:rPr>
          <w:rFonts w:ascii="宋体" w:hAnsi="宋体"/>
          <w:color w:val="auto"/>
          <w:sz w:val="21"/>
          <w:szCs w:val="21"/>
          <w:highlight w:val="none"/>
          <w:lang w:val="en-GB"/>
        </w:rPr>
        <w:t xml:space="preserve"> </w:t>
      </w:r>
      <w:r>
        <w:rPr>
          <w:rFonts w:hint="eastAsia" w:ascii="宋体" w:hAnsi="宋体"/>
          <w:color w:val="auto"/>
          <w:sz w:val="21"/>
          <w:szCs w:val="21"/>
          <w:highlight w:val="none"/>
          <w:lang w:val="en-GB"/>
        </w:rPr>
        <w:t>在“供应商资格性证明材料”中已填写的项目不需在此表中填写；</w:t>
      </w:r>
    </w:p>
    <w:p w14:paraId="4C758685">
      <w:pPr>
        <w:tabs>
          <w:tab w:val="left" w:pos="540"/>
        </w:tabs>
        <w:snapToGrid w:val="0"/>
        <w:spacing w:line="312" w:lineRule="auto"/>
        <w:ind w:left="420" w:hanging="420" w:hangingChars="200"/>
        <w:rPr>
          <w:rFonts w:hint="eastAsia" w:ascii="宋体" w:hAnsi="宋体"/>
          <w:color w:val="auto"/>
          <w:sz w:val="21"/>
          <w:szCs w:val="21"/>
          <w:highlight w:val="none"/>
          <w:lang w:val="en-GB"/>
        </w:rPr>
      </w:pPr>
      <w:r>
        <w:rPr>
          <w:rFonts w:hint="eastAsia" w:ascii="宋体" w:hAnsi="宋体"/>
          <w:color w:val="auto"/>
          <w:sz w:val="21"/>
          <w:szCs w:val="21"/>
          <w:highlight w:val="none"/>
          <w:lang w:val="en-GB"/>
        </w:rPr>
        <w:t xml:space="preserve">4. </w:t>
      </w:r>
      <w:r>
        <w:rPr>
          <w:rFonts w:ascii="宋体" w:hAnsi="宋体"/>
          <w:color w:val="auto"/>
          <w:sz w:val="21"/>
          <w:szCs w:val="21"/>
          <w:highlight w:val="none"/>
          <w:lang w:val="en-GB"/>
        </w:rPr>
        <w:t xml:space="preserve"> </w:t>
      </w:r>
      <w:r>
        <w:rPr>
          <w:rFonts w:hint="eastAsia" w:ascii="宋体" w:hAnsi="宋体"/>
          <w:color w:val="auto"/>
          <w:sz w:val="21"/>
          <w:szCs w:val="21"/>
          <w:highlight w:val="none"/>
          <w:lang w:val="en-GB"/>
        </w:rPr>
        <w:t>证书有效期要求：以上证书均须在有效期内，如证书设有有效期的，有效期要求不少于磋商当日或已办理延期手续；如证书没有设置有效期要求的，视为长期有效。</w:t>
      </w:r>
    </w:p>
    <w:p w14:paraId="3CA59BDE">
      <w:pPr>
        <w:tabs>
          <w:tab w:val="left" w:pos="540"/>
        </w:tabs>
        <w:snapToGrid w:val="0"/>
        <w:spacing w:line="312" w:lineRule="auto"/>
        <w:rPr>
          <w:rFonts w:hint="eastAsia" w:ascii="宋体" w:hAnsi="宋体"/>
          <w:color w:val="auto"/>
          <w:sz w:val="21"/>
          <w:szCs w:val="21"/>
          <w:highlight w:val="none"/>
          <w:u w:val="wave"/>
          <w:lang w:val="en-GB"/>
        </w:rPr>
      </w:pPr>
      <w:r>
        <w:rPr>
          <w:rFonts w:ascii="宋体" w:hAnsi="宋体"/>
          <w:color w:val="auto"/>
          <w:sz w:val="21"/>
          <w:szCs w:val="21"/>
          <w:highlight w:val="none"/>
          <w:lang w:val="en-GB"/>
        </w:rPr>
        <w:t>5</w:t>
      </w:r>
      <w:r>
        <w:rPr>
          <w:rFonts w:hint="eastAsia" w:ascii="宋体" w:hAnsi="宋体"/>
          <w:color w:val="auto"/>
          <w:sz w:val="21"/>
          <w:szCs w:val="21"/>
          <w:highlight w:val="none"/>
          <w:lang w:val="en-GB"/>
        </w:rPr>
        <w:t xml:space="preserve">. </w:t>
      </w:r>
      <w:r>
        <w:rPr>
          <w:rFonts w:ascii="宋体" w:hAnsi="宋体"/>
          <w:color w:val="auto"/>
          <w:sz w:val="21"/>
          <w:szCs w:val="21"/>
          <w:highlight w:val="none"/>
          <w:lang w:val="en-GB"/>
        </w:rPr>
        <w:t xml:space="preserve"> </w:t>
      </w:r>
      <w:r>
        <w:rPr>
          <w:rFonts w:hint="eastAsia" w:ascii="宋体" w:hAnsi="宋体"/>
          <w:color w:val="auto"/>
          <w:sz w:val="21"/>
          <w:szCs w:val="21"/>
          <w:highlight w:val="none"/>
          <w:u w:val="wave"/>
          <w:lang w:val="en-GB"/>
        </w:rPr>
        <w:t>证明材料（复印件）均须加盖供应商单位公章。</w:t>
      </w:r>
    </w:p>
    <w:p w14:paraId="37E2331C">
      <w:pPr>
        <w:rPr>
          <w:rFonts w:hint="eastAsia" w:ascii="宋体" w:hAnsi="宋体"/>
          <w:color w:val="auto"/>
          <w:highlight w:val="none"/>
        </w:rPr>
      </w:pPr>
    </w:p>
    <w:p w14:paraId="7CD095B8">
      <w:pPr>
        <w:rPr>
          <w:rFonts w:ascii="宋体" w:hAnsi="宋体"/>
          <w:color w:val="auto"/>
          <w:highlight w:val="none"/>
        </w:rPr>
      </w:pPr>
    </w:p>
    <w:p w14:paraId="1636F617">
      <w:pPr>
        <w:pStyle w:val="4"/>
        <w:spacing w:after="156" w:afterLines="50"/>
        <w:ind w:left="720"/>
        <w:jc w:val="center"/>
        <w:rPr>
          <w:color w:val="auto"/>
          <w:sz w:val="32"/>
          <w:highlight w:val="none"/>
        </w:rPr>
      </w:pPr>
      <w:r>
        <w:rPr>
          <w:rFonts w:hint="eastAsia"/>
          <w:color w:val="auto"/>
          <w:sz w:val="32"/>
          <w:highlight w:val="none"/>
        </w:rPr>
        <w:t>4.</w:t>
      </w:r>
      <w:r>
        <w:rPr>
          <w:color w:val="auto"/>
          <w:sz w:val="32"/>
          <w:highlight w:val="none"/>
        </w:rPr>
        <w:t>4</w:t>
      </w:r>
      <w:r>
        <w:rPr>
          <w:rFonts w:hint="eastAsia"/>
          <w:color w:val="auto"/>
          <w:sz w:val="32"/>
          <w:highlight w:val="none"/>
        </w:rPr>
        <w:t xml:space="preserve"> 项目业绩介绍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17"/>
        <w:gridCol w:w="1440"/>
        <w:gridCol w:w="1264"/>
        <w:gridCol w:w="977"/>
        <w:gridCol w:w="978"/>
        <w:gridCol w:w="1672"/>
        <w:gridCol w:w="1194"/>
      </w:tblGrid>
      <w:tr w14:paraId="0128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shd w:val="clear" w:color="auto" w:fill="F3F3F3"/>
            <w:noWrap w:val="0"/>
            <w:vAlign w:val="center"/>
          </w:tcPr>
          <w:p w14:paraId="200F4772">
            <w:pPr>
              <w:jc w:val="center"/>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1917" w:type="dxa"/>
            <w:shd w:val="clear" w:color="auto" w:fill="F3F3F3"/>
            <w:noWrap w:val="0"/>
            <w:vAlign w:val="center"/>
          </w:tcPr>
          <w:p w14:paraId="4F74FBF3">
            <w:pPr>
              <w:jc w:val="center"/>
              <w:rPr>
                <w:rFonts w:ascii="宋体" w:hAnsi="宋体"/>
                <w:b/>
                <w:bCs/>
                <w:color w:val="auto"/>
                <w:sz w:val="21"/>
                <w:szCs w:val="21"/>
                <w:highlight w:val="none"/>
              </w:rPr>
            </w:pPr>
            <w:r>
              <w:rPr>
                <w:rFonts w:hint="eastAsia" w:ascii="宋体" w:hAnsi="宋体"/>
                <w:b/>
                <w:bCs/>
                <w:color w:val="auto"/>
                <w:sz w:val="21"/>
                <w:szCs w:val="21"/>
                <w:highlight w:val="none"/>
              </w:rPr>
              <w:t>项目名称</w:t>
            </w:r>
          </w:p>
        </w:tc>
        <w:tc>
          <w:tcPr>
            <w:tcW w:w="1440" w:type="dxa"/>
            <w:shd w:val="clear" w:color="auto" w:fill="F3F3F3"/>
            <w:noWrap w:val="0"/>
            <w:vAlign w:val="center"/>
          </w:tcPr>
          <w:p w14:paraId="37C9512E">
            <w:pPr>
              <w:jc w:val="center"/>
              <w:rPr>
                <w:rFonts w:ascii="宋体" w:hAnsi="宋体"/>
                <w:b/>
                <w:bCs/>
                <w:color w:val="auto"/>
                <w:sz w:val="21"/>
                <w:szCs w:val="21"/>
                <w:highlight w:val="none"/>
              </w:rPr>
            </w:pPr>
            <w:r>
              <w:rPr>
                <w:rFonts w:hint="eastAsia" w:ascii="宋体" w:hAnsi="宋体"/>
                <w:b/>
                <w:bCs/>
                <w:color w:val="auto"/>
                <w:sz w:val="21"/>
                <w:szCs w:val="21"/>
                <w:highlight w:val="none"/>
              </w:rPr>
              <w:t>项目内容</w:t>
            </w:r>
          </w:p>
        </w:tc>
        <w:tc>
          <w:tcPr>
            <w:tcW w:w="1264" w:type="dxa"/>
            <w:shd w:val="clear" w:color="auto" w:fill="F3F3F3"/>
            <w:noWrap w:val="0"/>
            <w:vAlign w:val="center"/>
          </w:tcPr>
          <w:p w14:paraId="10692B80">
            <w:pPr>
              <w:jc w:val="center"/>
              <w:rPr>
                <w:rFonts w:ascii="宋体" w:hAnsi="宋体"/>
                <w:b/>
                <w:bCs/>
                <w:color w:val="auto"/>
                <w:sz w:val="21"/>
                <w:szCs w:val="21"/>
                <w:highlight w:val="none"/>
              </w:rPr>
            </w:pPr>
            <w:r>
              <w:rPr>
                <w:rFonts w:hint="eastAsia" w:ascii="宋体" w:hAnsi="宋体"/>
                <w:b/>
                <w:bCs/>
                <w:color w:val="auto"/>
                <w:sz w:val="21"/>
                <w:szCs w:val="21"/>
                <w:highlight w:val="none"/>
              </w:rPr>
              <w:t>合同金额（万元）</w:t>
            </w:r>
          </w:p>
        </w:tc>
        <w:tc>
          <w:tcPr>
            <w:tcW w:w="977" w:type="dxa"/>
            <w:shd w:val="clear" w:color="auto" w:fill="F3F3F3"/>
            <w:noWrap w:val="0"/>
            <w:vAlign w:val="center"/>
          </w:tcPr>
          <w:p w14:paraId="546E48FA">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签订</w:t>
            </w:r>
          </w:p>
          <w:p w14:paraId="4F097932">
            <w:pPr>
              <w:jc w:val="center"/>
              <w:rPr>
                <w:rFonts w:ascii="宋体" w:hAnsi="宋体"/>
                <w:b/>
                <w:bCs/>
                <w:color w:val="auto"/>
                <w:sz w:val="21"/>
                <w:szCs w:val="21"/>
                <w:highlight w:val="none"/>
              </w:rPr>
            </w:pPr>
            <w:r>
              <w:rPr>
                <w:rFonts w:hint="eastAsia" w:ascii="宋体" w:hAnsi="宋体"/>
                <w:b/>
                <w:bCs/>
                <w:color w:val="auto"/>
                <w:sz w:val="21"/>
                <w:szCs w:val="21"/>
                <w:highlight w:val="none"/>
              </w:rPr>
              <w:t>时间</w:t>
            </w:r>
          </w:p>
        </w:tc>
        <w:tc>
          <w:tcPr>
            <w:tcW w:w="978" w:type="dxa"/>
            <w:shd w:val="clear" w:color="auto" w:fill="F3F3F3"/>
            <w:noWrap w:val="0"/>
            <w:vAlign w:val="center"/>
          </w:tcPr>
          <w:p w14:paraId="566CADF6">
            <w:pPr>
              <w:jc w:val="center"/>
              <w:rPr>
                <w:rFonts w:hint="eastAsia" w:ascii="宋体" w:hAnsi="宋体"/>
                <w:b/>
                <w:bCs/>
                <w:color w:val="auto"/>
                <w:sz w:val="21"/>
                <w:szCs w:val="21"/>
                <w:highlight w:val="none"/>
              </w:rPr>
            </w:pPr>
            <w:r>
              <w:rPr>
                <w:rFonts w:hint="eastAsia" w:ascii="宋体" w:hAnsi="宋体"/>
                <w:b/>
                <w:bCs/>
                <w:color w:val="auto"/>
                <w:sz w:val="21"/>
                <w:szCs w:val="21"/>
                <w:highlight w:val="none"/>
              </w:rPr>
              <w:t>验收</w:t>
            </w:r>
          </w:p>
          <w:p w14:paraId="0861F136">
            <w:pPr>
              <w:jc w:val="center"/>
              <w:rPr>
                <w:rFonts w:ascii="宋体" w:hAnsi="宋体"/>
                <w:b/>
                <w:bCs/>
                <w:color w:val="auto"/>
                <w:sz w:val="21"/>
                <w:szCs w:val="21"/>
                <w:highlight w:val="none"/>
              </w:rPr>
            </w:pPr>
            <w:r>
              <w:rPr>
                <w:rFonts w:hint="eastAsia" w:ascii="宋体" w:hAnsi="宋体"/>
                <w:b/>
                <w:bCs/>
                <w:color w:val="auto"/>
                <w:sz w:val="21"/>
                <w:szCs w:val="21"/>
                <w:highlight w:val="none"/>
              </w:rPr>
              <w:t>时间</w:t>
            </w:r>
          </w:p>
        </w:tc>
        <w:tc>
          <w:tcPr>
            <w:tcW w:w="1672" w:type="dxa"/>
            <w:shd w:val="clear" w:color="auto" w:fill="F3F3F3"/>
            <w:noWrap w:val="0"/>
            <w:vAlign w:val="center"/>
          </w:tcPr>
          <w:p w14:paraId="09659835">
            <w:pPr>
              <w:jc w:val="center"/>
              <w:rPr>
                <w:rFonts w:ascii="宋体" w:hAnsi="宋体"/>
                <w:b/>
                <w:bCs/>
                <w:color w:val="auto"/>
                <w:sz w:val="21"/>
                <w:szCs w:val="21"/>
                <w:highlight w:val="none"/>
              </w:rPr>
            </w:pPr>
            <w:r>
              <w:rPr>
                <w:rFonts w:hint="eastAsia" w:ascii="宋体" w:hAnsi="宋体"/>
                <w:b/>
                <w:bCs/>
                <w:color w:val="auto"/>
                <w:sz w:val="21"/>
                <w:szCs w:val="21"/>
                <w:highlight w:val="none"/>
              </w:rPr>
              <w:t>客户单位名称联系人及电话</w:t>
            </w:r>
          </w:p>
        </w:tc>
        <w:tc>
          <w:tcPr>
            <w:tcW w:w="1194" w:type="dxa"/>
            <w:shd w:val="clear" w:color="auto" w:fill="F3F3F3"/>
            <w:noWrap w:val="0"/>
            <w:vAlign w:val="top"/>
          </w:tcPr>
          <w:p w14:paraId="162DC734">
            <w:pPr>
              <w:jc w:val="center"/>
              <w:rPr>
                <w:rFonts w:hint="eastAsia" w:ascii="宋体" w:hAnsi="宋体"/>
                <w:b/>
                <w:bCs/>
                <w:color w:val="auto"/>
                <w:sz w:val="21"/>
                <w:szCs w:val="21"/>
                <w:highlight w:val="none"/>
              </w:rPr>
            </w:pPr>
            <w:r>
              <w:rPr>
                <w:rFonts w:hint="eastAsia" w:ascii="宋体" w:hAnsi="宋体"/>
                <w:b/>
                <w:color w:val="auto"/>
                <w:sz w:val="21"/>
                <w:szCs w:val="21"/>
                <w:highlight w:val="none"/>
              </w:rPr>
              <w:t>证明材料所在页码</w:t>
            </w:r>
          </w:p>
        </w:tc>
      </w:tr>
      <w:tr w14:paraId="2BC4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noWrap w:val="0"/>
            <w:vAlign w:val="center"/>
          </w:tcPr>
          <w:p w14:paraId="33BDC527">
            <w:pPr>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917" w:type="dxa"/>
            <w:noWrap w:val="0"/>
            <w:vAlign w:val="center"/>
          </w:tcPr>
          <w:p w14:paraId="6E7600F9">
            <w:pPr>
              <w:jc w:val="center"/>
              <w:rPr>
                <w:rFonts w:ascii="宋体" w:hAnsi="宋体"/>
                <w:color w:val="auto"/>
                <w:sz w:val="21"/>
                <w:szCs w:val="21"/>
                <w:highlight w:val="none"/>
              </w:rPr>
            </w:pPr>
          </w:p>
        </w:tc>
        <w:tc>
          <w:tcPr>
            <w:tcW w:w="1440" w:type="dxa"/>
            <w:noWrap w:val="0"/>
            <w:vAlign w:val="center"/>
          </w:tcPr>
          <w:p w14:paraId="3E59C50A">
            <w:pPr>
              <w:jc w:val="center"/>
              <w:rPr>
                <w:rFonts w:ascii="宋体" w:hAnsi="宋体"/>
                <w:color w:val="auto"/>
                <w:sz w:val="21"/>
                <w:szCs w:val="21"/>
                <w:highlight w:val="none"/>
              </w:rPr>
            </w:pPr>
          </w:p>
        </w:tc>
        <w:tc>
          <w:tcPr>
            <w:tcW w:w="1264" w:type="dxa"/>
            <w:noWrap w:val="0"/>
            <w:vAlign w:val="center"/>
          </w:tcPr>
          <w:p w14:paraId="37FD3FBC">
            <w:pPr>
              <w:jc w:val="center"/>
              <w:rPr>
                <w:rFonts w:ascii="宋体" w:hAnsi="宋体"/>
                <w:color w:val="auto"/>
                <w:sz w:val="21"/>
                <w:szCs w:val="21"/>
                <w:highlight w:val="none"/>
              </w:rPr>
            </w:pPr>
          </w:p>
        </w:tc>
        <w:tc>
          <w:tcPr>
            <w:tcW w:w="977" w:type="dxa"/>
            <w:noWrap w:val="0"/>
            <w:vAlign w:val="center"/>
          </w:tcPr>
          <w:p w14:paraId="1EEB902C">
            <w:pPr>
              <w:jc w:val="center"/>
              <w:rPr>
                <w:rFonts w:ascii="宋体" w:hAnsi="宋体"/>
                <w:color w:val="auto"/>
                <w:sz w:val="21"/>
                <w:szCs w:val="21"/>
                <w:highlight w:val="none"/>
              </w:rPr>
            </w:pPr>
          </w:p>
        </w:tc>
        <w:tc>
          <w:tcPr>
            <w:tcW w:w="978" w:type="dxa"/>
            <w:noWrap w:val="0"/>
            <w:vAlign w:val="center"/>
          </w:tcPr>
          <w:p w14:paraId="3077FA6D">
            <w:pPr>
              <w:jc w:val="center"/>
              <w:rPr>
                <w:rFonts w:ascii="宋体" w:hAnsi="宋体"/>
                <w:color w:val="auto"/>
                <w:sz w:val="21"/>
                <w:szCs w:val="21"/>
                <w:highlight w:val="none"/>
              </w:rPr>
            </w:pPr>
          </w:p>
        </w:tc>
        <w:tc>
          <w:tcPr>
            <w:tcW w:w="1672" w:type="dxa"/>
            <w:noWrap w:val="0"/>
            <w:vAlign w:val="center"/>
          </w:tcPr>
          <w:p w14:paraId="22C2AB54">
            <w:pPr>
              <w:jc w:val="center"/>
              <w:rPr>
                <w:rFonts w:ascii="宋体" w:hAnsi="宋体"/>
                <w:color w:val="auto"/>
                <w:sz w:val="21"/>
                <w:szCs w:val="21"/>
                <w:highlight w:val="none"/>
              </w:rPr>
            </w:pPr>
          </w:p>
        </w:tc>
        <w:tc>
          <w:tcPr>
            <w:tcW w:w="1194" w:type="dxa"/>
            <w:noWrap w:val="0"/>
            <w:vAlign w:val="top"/>
          </w:tcPr>
          <w:p w14:paraId="23441E93">
            <w:pPr>
              <w:jc w:val="center"/>
              <w:rPr>
                <w:rFonts w:ascii="宋体" w:hAnsi="宋体"/>
                <w:color w:val="auto"/>
                <w:sz w:val="21"/>
                <w:szCs w:val="21"/>
                <w:highlight w:val="none"/>
              </w:rPr>
            </w:pPr>
          </w:p>
        </w:tc>
      </w:tr>
      <w:tr w14:paraId="3C18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noWrap w:val="0"/>
            <w:vAlign w:val="center"/>
          </w:tcPr>
          <w:p w14:paraId="39364282">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917" w:type="dxa"/>
            <w:noWrap w:val="0"/>
            <w:vAlign w:val="center"/>
          </w:tcPr>
          <w:p w14:paraId="31F11094">
            <w:pPr>
              <w:jc w:val="center"/>
              <w:rPr>
                <w:rFonts w:ascii="宋体" w:hAnsi="宋体"/>
                <w:color w:val="auto"/>
                <w:sz w:val="21"/>
                <w:szCs w:val="21"/>
                <w:highlight w:val="none"/>
              </w:rPr>
            </w:pPr>
          </w:p>
        </w:tc>
        <w:tc>
          <w:tcPr>
            <w:tcW w:w="1440" w:type="dxa"/>
            <w:noWrap w:val="0"/>
            <w:vAlign w:val="center"/>
          </w:tcPr>
          <w:p w14:paraId="5246F1C3">
            <w:pPr>
              <w:jc w:val="center"/>
              <w:rPr>
                <w:rFonts w:ascii="宋体" w:hAnsi="宋体"/>
                <w:color w:val="auto"/>
                <w:sz w:val="21"/>
                <w:szCs w:val="21"/>
                <w:highlight w:val="none"/>
              </w:rPr>
            </w:pPr>
          </w:p>
        </w:tc>
        <w:tc>
          <w:tcPr>
            <w:tcW w:w="1264" w:type="dxa"/>
            <w:noWrap w:val="0"/>
            <w:vAlign w:val="center"/>
          </w:tcPr>
          <w:p w14:paraId="28EFB1DB">
            <w:pPr>
              <w:jc w:val="center"/>
              <w:rPr>
                <w:rFonts w:ascii="宋体" w:hAnsi="宋体"/>
                <w:color w:val="auto"/>
                <w:sz w:val="21"/>
                <w:szCs w:val="21"/>
                <w:highlight w:val="none"/>
              </w:rPr>
            </w:pPr>
          </w:p>
        </w:tc>
        <w:tc>
          <w:tcPr>
            <w:tcW w:w="977" w:type="dxa"/>
            <w:noWrap w:val="0"/>
            <w:vAlign w:val="center"/>
          </w:tcPr>
          <w:p w14:paraId="19148EE1">
            <w:pPr>
              <w:jc w:val="center"/>
              <w:rPr>
                <w:rFonts w:ascii="宋体" w:hAnsi="宋体"/>
                <w:color w:val="auto"/>
                <w:sz w:val="21"/>
                <w:szCs w:val="21"/>
                <w:highlight w:val="none"/>
              </w:rPr>
            </w:pPr>
          </w:p>
        </w:tc>
        <w:tc>
          <w:tcPr>
            <w:tcW w:w="978" w:type="dxa"/>
            <w:noWrap w:val="0"/>
            <w:vAlign w:val="center"/>
          </w:tcPr>
          <w:p w14:paraId="526852A9">
            <w:pPr>
              <w:jc w:val="center"/>
              <w:rPr>
                <w:rFonts w:ascii="宋体" w:hAnsi="宋体"/>
                <w:color w:val="auto"/>
                <w:sz w:val="21"/>
                <w:szCs w:val="21"/>
                <w:highlight w:val="none"/>
              </w:rPr>
            </w:pPr>
          </w:p>
        </w:tc>
        <w:tc>
          <w:tcPr>
            <w:tcW w:w="1672" w:type="dxa"/>
            <w:noWrap w:val="0"/>
            <w:vAlign w:val="center"/>
          </w:tcPr>
          <w:p w14:paraId="0E2FB807">
            <w:pPr>
              <w:jc w:val="center"/>
              <w:rPr>
                <w:rFonts w:ascii="宋体" w:hAnsi="宋体"/>
                <w:color w:val="auto"/>
                <w:sz w:val="21"/>
                <w:szCs w:val="21"/>
                <w:highlight w:val="none"/>
              </w:rPr>
            </w:pPr>
          </w:p>
        </w:tc>
        <w:tc>
          <w:tcPr>
            <w:tcW w:w="1194" w:type="dxa"/>
            <w:noWrap w:val="0"/>
            <w:vAlign w:val="top"/>
          </w:tcPr>
          <w:p w14:paraId="6D828F8D">
            <w:pPr>
              <w:jc w:val="center"/>
              <w:rPr>
                <w:rFonts w:ascii="宋体" w:hAnsi="宋体"/>
                <w:color w:val="auto"/>
                <w:sz w:val="21"/>
                <w:szCs w:val="21"/>
                <w:highlight w:val="none"/>
              </w:rPr>
            </w:pPr>
          </w:p>
        </w:tc>
      </w:tr>
      <w:tr w14:paraId="78D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noWrap w:val="0"/>
            <w:vAlign w:val="center"/>
          </w:tcPr>
          <w:p w14:paraId="1B046A8B">
            <w:pPr>
              <w:jc w:val="center"/>
              <w:rPr>
                <w:rFonts w:ascii="宋体" w:hAnsi="宋体"/>
                <w:color w:val="auto"/>
                <w:sz w:val="21"/>
                <w:szCs w:val="21"/>
                <w:highlight w:val="none"/>
              </w:rPr>
            </w:pPr>
            <w:r>
              <w:rPr>
                <w:rFonts w:ascii="宋体" w:hAnsi="宋体"/>
                <w:color w:val="auto"/>
                <w:sz w:val="21"/>
                <w:szCs w:val="21"/>
                <w:highlight w:val="none"/>
              </w:rPr>
              <w:t>…</w:t>
            </w:r>
          </w:p>
        </w:tc>
        <w:tc>
          <w:tcPr>
            <w:tcW w:w="1917" w:type="dxa"/>
            <w:noWrap w:val="0"/>
            <w:vAlign w:val="center"/>
          </w:tcPr>
          <w:p w14:paraId="51AD6C60">
            <w:pPr>
              <w:jc w:val="center"/>
              <w:rPr>
                <w:rFonts w:ascii="宋体" w:hAnsi="宋体"/>
                <w:color w:val="auto"/>
                <w:sz w:val="21"/>
                <w:szCs w:val="21"/>
                <w:highlight w:val="none"/>
              </w:rPr>
            </w:pPr>
          </w:p>
        </w:tc>
        <w:tc>
          <w:tcPr>
            <w:tcW w:w="1440" w:type="dxa"/>
            <w:noWrap w:val="0"/>
            <w:vAlign w:val="center"/>
          </w:tcPr>
          <w:p w14:paraId="484DD56D">
            <w:pPr>
              <w:jc w:val="center"/>
              <w:rPr>
                <w:rFonts w:ascii="宋体" w:hAnsi="宋体"/>
                <w:color w:val="auto"/>
                <w:sz w:val="21"/>
                <w:szCs w:val="21"/>
                <w:highlight w:val="none"/>
              </w:rPr>
            </w:pPr>
          </w:p>
        </w:tc>
        <w:tc>
          <w:tcPr>
            <w:tcW w:w="1264" w:type="dxa"/>
            <w:noWrap w:val="0"/>
            <w:vAlign w:val="center"/>
          </w:tcPr>
          <w:p w14:paraId="14107C68">
            <w:pPr>
              <w:jc w:val="center"/>
              <w:rPr>
                <w:rFonts w:ascii="宋体" w:hAnsi="宋体"/>
                <w:color w:val="auto"/>
                <w:sz w:val="21"/>
                <w:szCs w:val="21"/>
                <w:highlight w:val="none"/>
              </w:rPr>
            </w:pPr>
          </w:p>
        </w:tc>
        <w:tc>
          <w:tcPr>
            <w:tcW w:w="977" w:type="dxa"/>
            <w:noWrap w:val="0"/>
            <w:vAlign w:val="center"/>
          </w:tcPr>
          <w:p w14:paraId="7497C907">
            <w:pPr>
              <w:jc w:val="center"/>
              <w:rPr>
                <w:rFonts w:ascii="宋体" w:hAnsi="宋体"/>
                <w:color w:val="auto"/>
                <w:sz w:val="21"/>
                <w:szCs w:val="21"/>
                <w:highlight w:val="none"/>
              </w:rPr>
            </w:pPr>
          </w:p>
        </w:tc>
        <w:tc>
          <w:tcPr>
            <w:tcW w:w="978" w:type="dxa"/>
            <w:noWrap w:val="0"/>
            <w:vAlign w:val="center"/>
          </w:tcPr>
          <w:p w14:paraId="14CF3626">
            <w:pPr>
              <w:jc w:val="center"/>
              <w:rPr>
                <w:rFonts w:ascii="宋体" w:hAnsi="宋体"/>
                <w:color w:val="auto"/>
                <w:sz w:val="21"/>
                <w:szCs w:val="21"/>
                <w:highlight w:val="none"/>
              </w:rPr>
            </w:pPr>
          </w:p>
        </w:tc>
        <w:tc>
          <w:tcPr>
            <w:tcW w:w="1672" w:type="dxa"/>
            <w:noWrap w:val="0"/>
            <w:vAlign w:val="center"/>
          </w:tcPr>
          <w:p w14:paraId="2B053D7A">
            <w:pPr>
              <w:jc w:val="center"/>
              <w:rPr>
                <w:rFonts w:ascii="宋体" w:hAnsi="宋体"/>
                <w:color w:val="auto"/>
                <w:sz w:val="21"/>
                <w:szCs w:val="21"/>
                <w:highlight w:val="none"/>
              </w:rPr>
            </w:pPr>
          </w:p>
        </w:tc>
        <w:tc>
          <w:tcPr>
            <w:tcW w:w="1194" w:type="dxa"/>
            <w:noWrap w:val="0"/>
            <w:vAlign w:val="top"/>
          </w:tcPr>
          <w:p w14:paraId="1B9ECC18">
            <w:pPr>
              <w:jc w:val="center"/>
              <w:rPr>
                <w:rFonts w:ascii="宋体" w:hAnsi="宋体"/>
                <w:color w:val="auto"/>
                <w:sz w:val="21"/>
                <w:szCs w:val="21"/>
                <w:highlight w:val="none"/>
              </w:rPr>
            </w:pPr>
          </w:p>
        </w:tc>
      </w:tr>
    </w:tbl>
    <w:p w14:paraId="3ACBC5ED">
      <w:pPr>
        <w:spacing w:line="312" w:lineRule="auto"/>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填表说明及要求，本表附件（须附在本表格之后）：</w:t>
      </w:r>
    </w:p>
    <w:p w14:paraId="1C46644A">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1.  请在此表内填写供应商的业绩情况；</w:t>
      </w:r>
    </w:p>
    <w:p w14:paraId="5CD6CB7F">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2.  所提交的证明材料内容请参照本项目的评审子项要求，否则在评审时该项证明材料无效；</w:t>
      </w:r>
    </w:p>
    <w:p w14:paraId="7DD5E4DA">
      <w:pPr>
        <w:tabs>
          <w:tab w:val="left" w:pos="540"/>
        </w:tabs>
        <w:snapToGrid w:val="0"/>
        <w:spacing w:line="312" w:lineRule="auto"/>
        <w:ind w:left="525" w:hanging="525" w:hangingChars="250"/>
        <w:rPr>
          <w:rFonts w:hint="eastAsia" w:ascii="宋体" w:hAnsi="宋体"/>
          <w:color w:val="auto"/>
          <w:sz w:val="21"/>
          <w:szCs w:val="21"/>
          <w:highlight w:val="none"/>
          <w:lang w:val="en-GB"/>
        </w:rPr>
      </w:pPr>
      <w:r>
        <w:rPr>
          <w:rFonts w:ascii="宋体" w:hAnsi="宋体"/>
          <w:color w:val="auto"/>
          <w:sz w:val="21"/>
          <w:szCs w:val="21"/>
          <w:highlight w:val="none"/>
          <w:lang w:val="en-GB"/>
        </w:rPr>
        <w:t>3</w:t>
      </w:r>
      <w:r>
        <w:rPr>
          <w:rFonts w:hint="eastAsia" w:ascii="宋体" w:hAnsi="宋体"/>
          <w:color w:val="auto"/>
          <w:sz w:val="21"/>
          <w:szCs w:val="21"/>
          <w:highlight w:val="none"/>
          <w:lang w:val="en-GB"/>
        </w:rPr>
        <w:t>.  每套业绩证明文件须按照以上列表的顺序在磋商响应文件中提供；</w:t>
      </w:r>
    </w:p>
    <w:p w14:paraId="220FD039">
      <w:pPr>
        <w:tabs>
          <w:tab w:val="left" w:pos="540"/>
        </w:tabs>
        <w:snapToGrid w:val="0"/>
        <w:spacing w:line="312" w:lineRule="auto"/>
        <w:rPr>
          <w:rFonts w:hint="eastAsia" w:ascii="宋体" w:hAnsi="宋体"/>
          <w:color w:val="auto"/>
          <w:sz w:val="21"/>
          <w:szCs w:val="21"/>
          <w:highlight w:val="none"/>
          <w:u w:val="wave"/>
          <w:lang w:val="en-GB"/>
        </w:rPr>
      </w:pPr>
      <w:r>
        <w:rPr>
          <w:rFonts w:ascii="宋体" w:hAnsi="宋体"/>
          <w:color w:val="auto"/>
          <w:sz w:val="21"/>
          <w:szCs w:val="21"/>
          <w:highlight w:val="none"/>
          <w:lang w:val="en-GB"/>
        </w:rPr>
        <w:t>4</w:t>
      </w:r>
      <w:r>
        <w:rPr>
          <w:rFonts w:hint="eastAsia" w:ascii="宋体" w:hAnsi="宋体"/>
          <w:color w:val="auto"/>
          <w:sz w:val="21"/>
          <w:szCs w:val="21"/>
          <w:highlight w:val="none"/>
          <w:lang w:val="en-GB"/>
        </w:rPr>
        <w:t xml:space="preserve">.  </w:t>
      </w:r>
      <w:r>
        <w:rPr>
          <w:rFonts w:hint="eastAsia" w:ascii="宋体" w:hAnsi="宋体"/>
          <w:color w:val="auto"/>
          <w:sz w:val="21"/>
          <w:szCs w:val="21"/>
          <w:highlight w:val="none"/>
          <w:u w:val="wave"/>
          <w:lang w:val="en-GB"/>
        </w:rPr>
        <w:t>证明材料（复印件）均须加盖供应商单位公章。</w:t>
      </w:r>
    </w:p>
    <w:p w14:paraId="298FA24A">
      <w:pPr>
        <w:tabs>
          <w:tab w:val="left" w:pos="540"/>
        </w:tabs>
        <w:snapToGrid w:val="0"/>
        <w:spacing w:line="312" w:lineRule="auto"/>
        <w:rPr>
          <w:rFonts w:hint="eastAsia" w:ascii="宋体" w:hAnsi="宋体"/>
          <w:color w:val="auto"/>
          <w:sz w:val="21"/>
          <w:szCs w:val="21"/>
          <w:highlight w:val="none"/>
          <w:u w:val="wave"/>
          <w:lang w:val="en-GB"/>
        </w:rPr>
      </w:pPr>
    </w:p>
    <w:p w14:paraId="6BF63079">
      <w:pPr>
        <w:tabs>
          <w:tab w:val="left" w:pos="540"/>
        </w:tabs>
        <w:snapToGrid w:val="0"/>
        <w:spacing w:line="312" w:lineRule="auto"/>
        <w:rPr>
          <w:rFonts w:hint="eastAsia" w:ascii="宋体" w:hAnsi="宋体"/>
          <w:color w:val="auto"/>
          <w:sz w:val="21"/>
          <w:szCs w:val="21"/>
          <w:highlight w:val="none"/>
          <w:u w:val="wave"/>
          <w:lang w:val="en-GB"/>
        </w:rPr>
      </w:pPr>
    </w:p>
    <w:p w14:paraId="647028A3">
      <w:pPr>
        <w:tabs>
          <w:tab w:val="left" w:pos="540"/>
        </w:tabs>
        <w:snapToGrid w:val="0"/>
        <w:spacing w:line="312" w:lineRule="auto"/>
        <w:rPr>
          <w:rFonts w:hint="eastAsia" w:ascii="宋体" w:hAnsi="宋体"/>
          <w:color w:val="auto"/>
          <w:sz w:val="21"/>
          <w:szCs w:val="21"/>
          <w:highlight w:val="none"/>
          <w:u w:val="wave"/>
          <w:lang w:val="en-GB"/>
        </w:rPr>
      </w:pPr>
    </w:p>
    <w:p w14:paraId="127C8205">
      <w:pPr>
        <w:pStyle w:val="4"/>
        <w:spacing w:after="156" w:afterLines="50"/>
        <w:jc w:val="center"/>
        <w:rPr>
          <w:rFonts w:hint="eastAsia"/>
          <w:color w:val="auto"/>
          <w:sz w:val="32"/>
          <w:highlight w:val="none"/>
        </w:rPr>
      </w:pPr>
      <w:r>
        <w:rPr>
          <w:rFonts w:hint="eastAsia"/>
          <w:color w:val="auto"/>
          <w:sz w:val="32"/>
          <w:highlight w:val="none"/>
        </w:rPr>
        <w:t>4</w:t>
      </w:r>
      <w:r>
        <w:rPr>
          <w:color w:val="auto"/>
          <w:sz w:val="32"/>
          <w:highlight w:val="none"/>
        </w:rPr>
        <w:t xml:space="preserve">.5 </w:t>
      </w:r>
      <w:r>
        <w:rPr>
          <w:rFonts w:hint="eastAsia"/>
          <w:color w:val="auto"/>
          <w:sz w:val="32"/>
          <w:highlight w:val="none"/>
        </w:rPr>
        <w:t>拟派项目组人员情况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146"/>
        <w:gridCol w:w="1329"/>
        <w:gridCol w:w="2822"/>
        <w:gridCol w:w="1325"/>
        <w:gridCol w:w="1139"/>
      </w:tblGrid>
      <w:tr w14:paraId="6F5A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shd w:val="clear" w:color="auto" w:fill="F3F3F3"/>
            <w:noWrap w:val="0"/>
            <w:vAlign w:val="center"/>
          </w:tcPr>
          <w:p w14:paraId="611710C7">
            <w:pPr>
              <w:adjustRightInd w:val="0"/>
              <w:snapToGrid w:val="0"/>
              <w:jc w:val="center"/>
              <w:rPr>
                <w:rFonts w:ascii="宋体" w:hAnsi="宋体"/>
                <w:b/>
                <w:color w:val="auto"/>
                <w:sz w:val="21"/>
                <w:szCs w:val="21"/>
                <w:highlight w:val="none"/>
              </w:rPr>
            </w:pPr>
            <w:r>
              <w:rPr>
                <w:rFonts w:hint="eastAsia" w:ascii="宋体" w:hAnsi="宋体"/>
                <w:b/>
                <w:color w:val="auto"/>
                <w:sz w:val="21"/>
                <w:szCs w:val="21"/>
                <w:highlight w:val="none"/>
              </w:rPr>
              <w:t>职责分工</w:t>
            </w:r>
          </w:p>
        </w:tc>
        <w:tc>
          <w:tcPr>
            <w:tcW w:w="1146" w:type="dxa"/>
            <w:shd w:val="clear" w:color="auto" w:fill="F3F3F3"/>
            <w:noWrap w:val="0"/>
            <w:vAlign w:val="center"/>
          </w:tcPr>
          <w:p w14:paraId="286D49D2">
            <w:pPr>
              <w:adjustRightInd w:val="0"/>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329" w:type="dxa"/>
            <w:shd w:val="clear" w:color="auto" w:fill="F3F3F3"/>
            <w:noWrap w:val="0"/>
            <w:vAlign w:val="center"/>
          </w:tcPr>
          <w:p w14:paraId="4439D009">
            <w:pPr>
              <w:adjustRightInd w:val="0"/>
              <w:snapToGrid w:val="0"/>
              <w:jc w:val="center"/>
              <w:rPr>
                <w:rFonts w:ascii="宋体" w:hAnsi="宋体"/>
                <w:b/>
                <w:color w:val="auto"/>
                <w:sz w:val="21"/>
                <w:szCs w:val="21"/>
                <w:highlight w:val="none"/>
              </w:rPr>
            </w:pPr>
            <w:r>
              <w:rPr>
                <w:rFonts w:hint="eastAsia" w:ascii="宋体" w:hAnsi="宋体"/>
                <w:b/>
                <w:color w:val="auto"/>
                <w:sz w:val="21"/>
                <w:szCs w:val="21"/>
                <w:highlight w:val="none"/>
              </w:rPr>
              <w:t>职务/职称</w:t>
            </w:r>
          </w:p>
        </w:tc>
        <w:tc>
          <w:tcPr>
            <w:tcW w:w="2822" w:type="dxa"/>
            <w:shd w:val="clear" w:color="auto" w:fill="F3F3F3"/>
            <w:noWrap w:val="0"/>
            <w:vAlign w:val="center"/>
          </w:tcPr>
          <w:p w14:paraId="7F0105F3">
            <w:pPr>
              <w:adjustRightInd w:val="0"/>
              <w:snapToGrid w:val="0"/>
              <w:jc w:val="center"/>
              <w:rPr>
                <w:rFonts w:ascii="宋体" w:hAnsi="宋体"/>
                <w:b/>
                <w:color w:val="auto"/>
                <w:sz w:val="21"/>
                <w:szCs w:val="21"/>
                <w:highlight w:val="none"/>
              </w:rPr>
            </w:pPr>
            <w:r>
              <w:rPr>
                <w:rFonts w:hint="eastAsia" w:ascii="宋体" w:hAnsi="宋体"/>
                <w:b/>
                <w:color w:val="auto"/>
                <w:sz w:val="21"/>
                <w:szCs w:val="21"/>
                <w:highlight w:val="none"/>
              </w:rPr>
              <w:t>曾主持/参与过的</w:t>
            </w:r>
          </w:p>
          <w:p w14:paraId="2A4E2B87">
            <w:pPr>
              <w:adjustRightInd w:val="0"/>
              <w:snapToGrid w:val="0"/>
              <w:jc w:val="center"/>
              <w:rPr>
                <w:rFonts w:ascii="宋体" w:hAnsi="宋体"/>
                <w:b/>
                <w:color w:val="auto"/>
                <w:sz w:val="21"/>
                <w:szCs w:val="21"/>
                <w:highlight w:val="none"/>
              </w:rPr>
            </w:pPr>
            <w:r>
              <w:rPr>
                <w:rFonts w:hint="eastAsia" w:ascii="宋体" w:hAnsi="宋体"/>
                <w:b/>
                <w:color w:val="auto"/>
                <w:sz w:val="21"/>
                <w:szCs w:val="21"/>
                <w:highlight w:val="none"/>
              </w:rPr>
              <w:t>同类项目经历</w:t>
            </w:r>
          </w:p>
        </w:tc>
        <w:tc>
          <w:tcPr>
            <w:tcW w:w="1325" w:type="dxa"/>
            <w:shd w:val="clear" w:color="auto" w:fill="F3F3F3"/>
            <w:noWrap w:val="0"/>
            <w:vAlign w:val="center"/>
          </w:tcPr>
          <w:p w14:paraId="18894529">
            <w:pPr>
              <w:adjustRightInd w:val="0"/>
              <w:snapToGrid w:val="0"/>
              <w:ind w:firstLine="12"/>
              <w:jc w:val="center"/>
              <w:rPr>
                <w:rFonts w:ascii="宋体" w:hAnsi="宋体"/>
                <w:b/>
                <w:color w:val="auto"/>
                <w:sz w:val="21"/>
                <w:szCs w:val="21"/>
                <w:highlight w:val="none"/>
              </w:rPr>
            </w:pPr>
            <w:r>
              <w:rPr>
                <w:rFonts w:hint="eastAsia" w:ascii="宋体" w:hAnsi="宋体"/>
                <w:b/>
                <w:color w:val="auto"/>
                <w:sz w:val="21"/>
                <w:szCs w:val="21"/>
                <w:highlight w:val="none"/>
              </w:rPr>
              <w:t>联系电话</w:t>
            </w:r>
          </w:p>
          <w:p w14:paraId="3F4638B3">
            <w:pPr>
              <w:adjustRightInd w:val="0"/>
              <w:snapToGrid w:val="0"/>
              <w:ind w:firstLine="12"/>
              <w:jc w:val="center"/>
              <w:rPr>
                <w:rFonts w:ascii="宋体" w:hAnsi="宋体"/>
                <w:b/>
                <w:color w:val="auto"/>
                <w:sz w:val="21"/>
                <w:szCs w:val="21"/>
                <w:highlight w:val="none"/>
              </w:rPr>
            </w:pPr>
            <w:r>
              <w:rPr>
                <w:rFonts w:hint="eastAsia" w:ascii="宋体" w:hAnsi="宋体"/>
                <w:b/>
                <w:color w:val="auto"/>
                <w:sz w:val="21"/>
                <w:szCs w:val="21"/>
                <w:highlight w:val="none"/>
              </w:rPr>
              <w:t>手机</w:t>
            </w:r>
          </w:p>
        </w:tc>
        <w:tc>
          <w:tcPr>
            <w:tcW w:w="1139" w:type="dxa"/>
            <w:shd w:val="clear" w:color="auto" w:fill="F3F3F3"/>
            <w:noWrap w:val="0"/>
            <w:vAlign w:val="center"/>
          </w:tcPr>
          <w:p w14:paraId="64FE5688">
            <w:pPr>
              <w:adjustRightInd w:val="0"/>
              <w:snapToGrid w:val="0"/>
              <w:ind w:firstLine="12"/>
              <w:jc w:val="center"/>
              <w:rPr>
                <w:rFonts w:ascii="宋体" w:hAnsi="宋体"/>
                <w:b/>
                <w:color w:val="auto"/>
                <w:sz w:val="21"/>
                <w:szCs w:val="21"/>
                <w:highlight w:val="none"/>
              </w:rPr>
            </w:pPr>
            <w:r>
              <w:rPr>
                <w:rFonts w:hint="eastAsia" w:ascii="宋体" w:hAnsi="宋体"/>
                <w:b/>
                <w:color w:val="auto"/>
                <w:sz w:val="21"/>
                <w:szCs w:val="21"/>
                <w:highlight w:val="none"/>
              </w:rPr>
              <w:t>证明材料所在页码</w:t>
            </w:r>
          </w:p>
        </w:tc>
      </w:tr>
      <w:tr w14:paraId="5212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noWrap w:val="0"/>
            <w:vAlign w:val="center"/>
          </w:tcPr>
          <w:p w14:paraId="118031D8">
            <w:pPr>
              <w:adjustRightInd w:val="0"/>
              <w:snapToGrid w:val="0"/>
              <w:jc w:val="center"/>
              <w:rPr>
                <w:rFonts w:ascii="宋体" w:hAnsi="宋体"/>
                <w:color w:val="auto"/>
                <w:sz w:val="21"/>
                <w:szCs w:val="21"/>
                <w:highlight w:val="none"/>
              </w:rPr>
            </w:pPr>
          </w:p>
        </w:tc>
        <w:tc>
          <w:tcPr>
            <w:tcW w:w="1146" w:type="dxa"/>
            <w:noWrap w:val="0"/>
            <w:vAlign w:val="center"/>
          </w:tcPr>
          <w:p w14:paraId="480CC041">
            <w:pPr>
              <w:adjustRightInd w:val="0"/>
              <w:snapToGrid w:val="0"/>
              <w:jc w:val="center"/>
              <w:rPr>
                <w:rFonts w:ascii="宋体" w:hAnsi="宋体"/>
                <w:color w:val="auto"/>
                <w:sz w:val="21"/>
                <w:szCs w:val="21"/>
                <w:highlight w:val="none"/>
              </w:rPr>
            </w:pPr>
          </w:p>
        </w:tc>
        <w:tc>
          <w:tcPr>
            <w:tcW w:w="1329" w:type="dxa"/>
            <w:noWrap w:val="0"/>
            <w:vAlign w:val="center"/>
          </w:tcPr>
          <w:p w14:paraId="223D3128">
            <w:pPr>
              <w:adjustRightInd w:val="0"/>
              <w:snapToGrid w:val="0"/>
              <w:jc w:val="center"/>
              <w:rPr>
                <w:rFonts w:ascii="宋体" w:hAnsi="宋体"/>
                <w:color w:val="auto"/>
                <w:sz w:val="21"/>
                <w:szCs w:val="21"/>
                <w:highlight w:val="none"/>
              </w:rPr>
            </w:pPr>
          </w:p>
        </w:tc>
        <w:tc>
          <w:tcPr>
            <w:tcW w:w="2822" w:type="dxa"/>
            <w:noWrap w:val="0"/>
            <w:vAlign w:val="center"/>
          </w:tcPr>
          <w:p w14:paraId="60BBCA27">
            <w:pPr>
              <w:keepNext w:val="0"/>
              <w:widowControl w:val="0"/>
              <w:adjustRightInd w:val="0"/>
              <w:snapToGrid w:val="0"/>
              <w:spacing w:before="0" w:after="0" w:line="240" w:lineRule="auto"/>
              <w:jc w:val="center"/>
              <w:textAlignment w:val="auto"/>
              <w:rPr>
                <w:rFonts w:ascii="宋体" w:hAnsi="宋体" w:eastAsia="宋体" w:cs="Times New Roman"/>
                <w:color w:val="auto"/>
                <w:spacing w:val="0"/>
                <w:kern w:val="2"/>
                <w:sz w:val="21"/>
                <w:szCs w:val="21"/>
                <w:highlight w:val="none"/>
                <w:lang w:val="en-US" w:eastAsia="zh-CN" w:bidi="ar-SA"/>
              </w:rPr>
            </w:pPr>
          </w:p>
        </w:tc>
        <w:tc>
          <w:tcPr>
            <w:tcW w:w="1325" w:type="dxa"/>
            <w:noWrap w:val="0"/>
            <w:vAlign w:val="center"/>
          </w:tcPr>
          <w:p w14:paraId="0BCCAFF3">
            <w:pPr>
              <w:adjustRightInd w:val="0"/>
              <w:snapToGrid w:val="0"/>
              <w:ind w:firstLine="12"/>
              <w:jc w:val="center"/>
              <w:rPr>
                <w:rFonts w:ascii="宋体" w:hAnsi="宋体"/>
                <w:color w:val="auto"/>
                <w:sz w:val="21"/>
                <w:szCs w:val="21"/>
                <w:highlight w:val="none"/>
              </w:rPr>
            </w:pPr>
          </w:p>
        </w:tc>
        <w:tc>
          <w:tcPr>
            <w:tcW w:w="1139" w:type="dxa"/>
            <w:noWrap w:val="0"/>
            <w:vAlign w:val="center"/>
          </w:tcPr>
          <w:p w14:paraId="2E825703">
            <w:pPr>
              <w:adjustRightInd w:val="0"/>
              <w:snapToGrid w:val="0"/>
              <w:ind w:firstLine="12"/>
              <w:jc w:val="center"/>
              <w:rPr>
                <w:rFonts w:ascii="宋体" w:hAnsi="宋体"/>
                <w:color w:val="auto"/>
                <w:sz w:val="21"/>
                <w:szCs w:val="21"/>
                <w:highlight w:val="none"/>
              </w:rPr>
            </w:pPr>
          </w:p>
        </w:tc>
      </w:tr>
      <w:tr w14:paraId="30C1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noWrap w:val="0"/>
            <w:vAlign w:val="center"/>
          </w:tcPr>
          <w:p w14:paraId="4E6E456B">
            <w:pPr>
              <w:adjustRightInd w:val="0"/>
              <w:snapToGrid w:val="0"/>
              <w:jc w:val="center"/>
              <w:rPr>
                <w:rFonts w:ascii="宋体" w:hAnsi="宋体"/>
                <w:color w:val="auto"/>
                <w:sz w:val="21"/>
                <w:szCs w:val="21"/>
                <w:highlight w:val="none"/>
              </w:rPr>
            </w:pPr>
          </w:p>
        </w:tc>
        <w:tc>
          <w:tcPr>
            <w:tcW w:w="1146" w:type="dxa"/>
            <w:noWrap w:val="0"/>
            <w:vAlign w:val="center"/>
          </w:tcPr>
          <w:p w14:paraId="2AE3CC09">
            <w:pPr>
              <w:adjustRightInd w:val="0"/>
              <w:snapToGrid w:val="0"/>
              <w:jc w:val="center"/>
              <w:rPr>
                <w:rFonts w:ascii="宋体" w:hAnsi="宋体"/>
                <w:color w:val="auto"/>
                <w:sz w:val="21"/>
                <w:szCs w:val="21"/>
                <w:highlight w:val="none"/>
              </w:rPr>
            </w:pPr>
          </w:p>
        </w:tc>
        <w:tc>
          <w:tcPr>
            <w:tcW w:w="1329" w:type="dxa"/>
            <w:noWrap w:val="0"/>
            <w:vAlign w:val="center"/>
          </w:tcPr>
          <w:p w14:paraId="7C06DDE0">
            <w:pPr>
              <w:adjustRightInd w:val="0"/>
              <w:snapToGrid w:val="0"/>
              <w:jc w:val="center"/>
              <w:rPr>
                <w:rFonts w:ascii="宋体" w:hAnsi="宋体"/>
                <w:color w:val="auto"/>
                <w:sz w:val="21"/>
                <w:szCs w:val="21"/>
                <w:highlight w:val="none"/>
              </w:rPr>
            </w:pPr>
          </w:p>
        </w:tc>
        <w:tc>
          <w:tcPr>
            <w:tcW w:w="2822" w:type="dxa"/>
            <w:noWrap w:val="0"/>
            <w:vAlign w:val="center"/>
          </w:tcPr>
          <w:p w14:paraId="46294730">
            <w:pPr>
              <w:keepNext w:val="0"/>
              <w:widowControl w:val="0"/>
              <w:adjustRightInd w:val="0"/>
              <w:snapToGrid w:val="0"/>
              <w:spacing w:before="0" w:after="0" w:line="240" w:lineRule="auto"/>
              <w:jc w:val="center"/>
              <w:textAlignment w:val="auto"/>
              <w:rPr>
                <w:rFonts w:ascii="宋体" w:hAnsi="宋体" w:eastAsia="宋体" w:cs="Times New Roman"/>
                <w:color w:val="auto"/>
                <w:spacing w:val="0"/>
                <w:kern w:val="2"/>
                <w:sz w:val="21"/>
                <w:szCs w:val="21"/>
                <w:highlight w:val="none"/>
                <w:lang w:val="en-US" w:eastAsia="zh-CN" w:bidi="ar-SA"/>
              </w:rPr>
            </w:pPr>
          </w:p>
        </w:tc>
        <w:tc>
          <w:tcPr>
            <w:tcW w:w="1325" w:type="dxa"/>
            <w:noWrap w:val="0"/>
            <w:vAlign w:val="center"/>
          </w:tcPr>
          <w:p w14:paraId="35CB1D1A">
            <w:pPr>
              <w:adjustRightInd w:val="0"/>
              <w:snapToGrid w:val="0"/>
              <w:ind w:firstLine="12"/>
              <w:jc w:val="center"/>
              <w:rPr>
                <w:rFonts w:ascii="宋体" w:hAnsi="宋体"/>
                <w:color w:val="auto"/>
                <w:sz w:val="21"/>
                <w:szCs w:val="21"/>
                <w:highlight w:val="none"/>
              </w:rPr>
            </w:pPr>
          </w:p>
        </w:tc>
        <w:tc>
          <w:tcPr>
            <w:tcW w:w="1139" w:type="dxa"/>
            <w:noWrap w:val="0"/>
            <w:vAlign w:val="center"/>
          </w:tcPr>
          <w:p w14:paraId="481FD1D8">
            <w:pPr>
              <w:adjustRightInd w:val="0"/>
              <w:snapToGrid w:val="0"/>
              <w:ind w:firstLine="12"/>
              <w:jc w:val="center"/>
              <w:rPr>
                <w:rFonts w:ascii="宋体" w:hAnsi="宋体"/>
                <w:color w:val="auto"/>
                <w:sz w:val="21"/>
                <w:szCs w:val="21"/>
                <w:highlight w:val="none"/>
              </w:rPr>
            </w:pPr>
          </w:p>
        </w:tc>
      </w:tr>
      <w:tr w14:paraId="6E03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noWrap w:val="0"/>
            <w:vAlign w:val="center"/>
          </w:tcPr>
          <w:p w14:paraId="138CED31">
            <w:pPr>
              <w:adjustRightInd w:val="0"/>
              <w:snapToGrid w:val="0"/>
              <w:jc w:val="center"/>
              <w:rPr>
                <w:rFonts w:ascii="宋体" w:hAnsi="宋体"/>
                <w:color w:val="auto"/>
                <w:sz w:val="21"/>
                <w:szCs w:val="21"/>
                <w:highlight w:val="none"/>
              </w:rPr>
            </w:pPr>
          </w:p>
        </w:tc>
        <w:tc>
          <w:tcPr>
            <w:tcW w:w="1146" w:type="dxa"/>
            <w:noWrap w:val="0"/>
            <w:vAlign w:val="center"/>
          </w:tcPr>
          <w:p w14:paraId="5BDD56BA">
            <w:pPr>
              <w:adjustRightInd w:val="0"/>
              <w:snapToGrid w:val="0"/>
              <w:jc w:val="center"/>
              <w:rPr>
                <w:rFonts w:ascii="宋体" w:hAnsi="宋体"/>
                <w:color w:val="auto"/>
                <w:sz w:val="21"/>
                <w:szCs w:val="21"/>
                <w:highlight w:val="none"/>
              </w:rPr>
            </w:pPr>
          </w:p>
        </w:tc>
        <w:tc>
          <w:tcPr>
            <w:tcW w:w="1329" w:type="dxa"/>
            <w:noWrap w:val="0"/>
            <w:vAlign w:val="center"/>
          </w:tcPr>
          <w:p w14:paraId="183C735F">
            <w:pPr>
              <w:adjustRightInd w:val="0"/>
              <w:snapToGrid w:val="0"/>
              <w:jc w:val="center"/>
              <w:rPr>
                <w:rFonts w:ascii="宋体" w:hAnsi="宋体"/>
                <w:color w:val="auto"/>
                <w:sz w:val="21"/>
                <w:szCs w:val="21"/>
                <w:highlight w:val="none"/>
              </w:rPr>
            </w:pPr>
          </w:p>
        </w:tc>
        <w:tc>
          <w:tcPr>
            <w:tcW w:w="2822" w:type="dxa"/>
            <w:noWrap w:val="0"/>
            <w:vAlign w:val="center"/>
          </w:tcPr>
          <w:p w14:paraId="4510CE86">
            <w:pPr>
              <w:keepNext w:val="0"/>
              <w:widowControl w:val="0"/>
              <w:adjustRightInd w:val="0"/>
              <w:snapToGrid w:val="0"/>
              <w:spacing w:before="0" w:after="0" w:line="240" w:lineRule="auto"/>
              <w:jc w:val="center"/>
              <w:textAlignment w:val="auto"/>
              <w:rPr>
                <w:rFonts w:ascii="宋体" w:hAnsi="宋体" w:eastAsia="宋体" w:cs="Times New Roman"/>
                <w:color w:val="auto"/>
                <w:spacing w:val="0"/>
                <w:kern w:val="2"/>
                <w:sz w:val="21"/>
                <w:szCs w:val="21"/>
                <w:highlight w:val="none"/>
                <w:lang w:val="en-US" w:eastAsia="zh-CN" w:bidi="ar-SA"/>
              </w:rPr>
            </w:pPr>
          </w:p>
        </w:tc>
        <w:tc>
          <w:tcPr>
            <w:tcW w:w="1325" w:type="dxa"/>
            <w:noWrap w:val="0"/>
            <w:vAlign w:val="center"/>
          </w:tcPr>
          <w:p w14:paraId="5CD77EE0">
            <w:pPr>
              <w:adjustRightInd w:val="0"/>
              <w:snapToGrid w:val="0"/>
              <w:ind w:firstLine="12"/>
              <w:jc w:val="center"/>
              <w:rPr>
                <w:rFonts w:ascii="宋体" w:hAnsi="宋体"/>
                <w:color w:val="auto"/>
                <w:sz w:val="21"/>
                <w:szCs w:val="21"/>
                <w:highlight w:val="none"/>
              </w:rPr>
            </w:pPr>
          </w:p>
        </w:tc>
        <w:tc>
          <w:tcPr>
            <w:tcW w:w="1139" w:type="dxa"/>
            <w:noWrap w:val="0"/>
            <w:vAlign w:val="center"/>
          </w:tcPr>
          <w:p w14:paraId="456E0A54">
            <w:pPr>
              <w:adjustRightInd w:val="0"/>
              <w:snapToGrid w:val="0"/>
              <w:ind w:firstLine="12"/>
              <w:jc w:val="center"/>
              <w:rPr>
                <w:rFonts w:ascii="宋体" w:hAnsi="宋体"/>
                <w:color w:val="auto"/>
                <w:sz w:val="21"/>
                <w:szCs w:val="21"/>
                <w:highlight w:val="none"/>
              </w:rPr>
            </w:pPr>
          </w:p>
        </w:tc>
      </w:tr>
      <w:tr w14:paraId="5FA0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noWrap w:val="0"/>
            <w:vAlign w:val="center"/>
          </w:tcPr>
          <w:p w14:paraId="58577DEB">
            <w:pPr>
              <w:adjustRightInd w:val="0"/>
              <w:snapToGrid w:val="0"/>
              <w:jc w:val="center"/>
              <w:rPr>
                <w:rFonts w:ascii="宋体" w:hAnsi="宋体"/>
                <w:color w:val="auto"/>
                <w:sz w:val="21"/>
                <w:szCs w:val="21"/>
                <w:highlight w:val="none"/>
              </w:rPr>
            </w:pPr>
          </w:p>
        </w:tc>
        <w:tc>
          <w:tcPr>
            <w:tcW w:w="1146" w:type="dxa"/>
            <w:noWrap w:val="0"/>
            <w:vAlign w:val="center"/>
          </w:tcPr>
          <w:p w14:paraId="2A67ADDC">
            <w:pPr>
              <w:adjustRightInd w:val="0"/>
              <w:snapToGrid w:val="0"/>
              <w:jc w:val="center"/>
              <w:rPr>
                <w:rFonts w:ascii="宋体" w:hAnsi="宋体"/>
                <w:color w:val="auto"/>
                <w:sz w:val="21"/>
                <w:szCs w:val="21"/>
                <w:highlight w:val="none"/>
              </w:rPr>
            </w:pPr>
          </w:p>
        </w:tc>
        <w:tc>
          <w:tcPr>
            <w:tcW w:w="1329" w:type="dxa"/>
            <w:noWrap w:val="0"/>
            <w:vAlign w:val="center"/>
          </w:tcPr>
          <w:p w14:paraId="2606583B">
            <w:pPr>
              <w:adjustRightInd w:val="0"/>
              <w:snapToGrid w:val="0"/>
              <w:jc w:val="center"/>
              <w:rPr>
                <w:rFonts w:ascii="宋体" w:hAnsi="宋体"/>
                <w:color w:val="auto"/>
                <w:sz w:val="21"/>
                <w:szCs w:val="21"/>
                <w:highlight w:val="none"/>
              </w:rPr>
            </w:pPr>
          </w:p>
        </w:tc>
        <w:tc>
          <w:tcPr>
            <w:tcW w:w="2822" w:type="dxa"/>
            <w:noWrap w:val="0"/>
            <w:vAlign w:val="center"/>
          </w:tcPr>
          <w:p w14:paraId="120BE510">
            <w:pPr>
              <w:adjustRightInd w:val="0"/>
              <w:snapToGrid w:val="0"/>
              <w:jc w:val="center"/>
              <w:rPr>
                <w:rFonts w:ascii="宋体" w:hAnsi="宋体"/>
                <w:color w:val="auto"/>
                <w:sz w:val="21"/>
                <w:szCs w:val="21"/>
                <w:highlight w:val="none"/>
              </w:rPr>
            </w:pPr>
          </w:p>
        </w:tc>
        <w:tc>
          <w:tcPr>
            <w:tcW w:w="1325" w:type="dxa"/>
            <w:noWrap w:val="0"/>
            <w:vAlign w:val="center"/>
          </w:tcPr>
          <w:p w14:paraId="515BD8B6">
            <w:pPr>
              <w:adjustRightInd w:val="0"/>
              <w:snapToGrid w:val="0"/>
              <w:jc w:val="center"/>
              <w:rPr>
                <w:rFonts w:ascii="宋体" w:hAnsi="宋体"/>
                <w:color w:val="auto"/>
                <w:sz w:val="21"/>
                <w:szCs w:val="21"/>
                <w:highlight w:val="none"/>
              </w:rPr>
            </w:pPr>
          </w:p>
        </w:tc>
        <w:tc>
          <w:tcPr>
            <w:tcW w:w="1139" w:type="dxa"/>
            <w:noWrap w:val="0"/>
            <w:vAlign w:val="center"/>
          </w:tcPr>
          <w:p w14:paraId="4765B71B">
            <w:pPr>
              <w:adjustRightInd w:val="0"/>
              <w:snapToGrid w:val="0"/>
              <w:jc w:val="center"/>
              <w:rPr>
                <w:rFonts w:ascii="宋体" w:hAnsi="宋体"/>
                <w:color w:val="auto"/>
                <w:sz w:val="21"/>
                <w:szCs w:val="21"/>
                <w:highlight w:val="none"/>
              </w:rPr>
            </w:pPr>
          </w:p>
        </w:tc>
      </w:tr>
      <w:tr w14:paraId="17BF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noWrap w:val="0"/>
            <w:vAlign w:val="center"/>
          </w:tcPr>
          <w:p w14:paraId="7144689C">
            <w:pPr>
              <w:adjustRightInd w:val="0"/>
              <w:snapToGrid w:val="0"/>
              <w:jc w:val="center"/>
              <w:rPr>
                <w:rFonts w:ascii="宋体" w:hAnsi="宋体"/>
                <w:color w:val="auto"/>
                <w:sz w:val="21"/>
                <w:szCs w:val="21"/>
                <w:highlight w:val="none"/>
              </w:rPr>
            </w:pPr>
          </w:p>
        </w:tc>
        <w:tc>
          <w:tcPr>
            <w:tcW w:w="1146" w:type="dxa"/>
            <w:noWrap w:val="0"/>
            <w:vAlign w:val="center"/>
          </w:tcPr>
          <w:p w14:paraId="135731D3">
            <w:pPr>
              <w:adjustRightInd w:val="0"/>
              <w:snapToGrid w:val="0"/>
              <w:jc w:val="center"/>
              <w:rPr>
                <w:rFonts w:ascii="宋体" w:hAnsi="宋体"/>
                <w:color w:val="auto"/>
                <w:sz w:val="21"/>
                <w:szCs w:val="21"/>
                <w:highlight w:val="none"/>
              </w:rPr>
            </w:pPr>
          </w:p>
        </w:tc>
        <w:tc>
          <w:tcPr>
            <w:tcW w:w="1329" w:type="dxa"/>
            <w:noWrap w:val="0"/>
            <w:vAlign w:val="center"/>
          </w:tcPr>
          <w:p w14:paraId="4D89F18A">
            <w:pPr>
              <w:adjustRightInd w:val="0"/>
              <w:snapToGrid w:val="0"/>
              <w:jc w:val="center"/>
              <w:rPr>
                <w:rFonts w:ascii="宋体" w:hAnsi="宋体"/>
                <w:color w:val="auto"/>
                <w:sz w:val="21"/>
                <w:szCs w:val="21"/>
                <w:highlight w:val="none"/>
              </w:rPr>
            </w:pPr>
          </w:p>
        </w:tc>
        <w:tc>
          <w:tcPr>
            <w:tcW w:w="2822" w:type="dxa"/>
            <w:noWrap w:val="0"/>
            <w:vAlign w:val="center"/>
          </w:tcPr>
          <w:p w14:paraId="3FD8EEB6">
            <w:pPr>
              <w:adjustRightInd w:val="0"/>
              <w:snapToGrid w:val="0"/>
              <w:jc w:val="center"/>
              <w:rPr>
                <w:rFonts w:ascii="宋体" w:hAnsi="宋体"/>
                <w:color w:val="auto"/>
                <w:sz w:val="21"/>
                <w:szCs w:val="21"/>
                <w:highlight w:val="none"/>
              </w:rPr>
            </w:pPr>
          </w:p>
        </w:tc>
        <w:tc>
          <w:tcPr>
            <w:tcW w:w="1325" w:type="dxa"/>
            <w:noWrap w:val="0"/>
            <w:vAlign w:val="center"/>
          </w:tcPr>
          <w:p w14:paraId="0EC812AF">
            <w:pPr>
              <w:adjustRightInd w:val="0"/>
              <w:snapToGrid w:val="0"/>
              <w:jc w:val="center"/>
              <w:rPr>
                <w:rFonts w:ascii="宋体" w:hAnsi="宋体"/>
                <w:color w:val="auto"/>
                <w:sz w:val="21"/>
                <w:szCs w:val="21"/>
                <w:highlight w:val="none"/>
              </w:rPr>
            </w:pPr>
          </w:p>
        </w:tc>
        <w:tc>
          <w:tcPr>
            <w:tcW w:w="1139" w:type="dxa"/>
            <w:noWrap w:val="0"/>
            <w:vAlign w:val="center"/>
          </w:tcPr>
          <w:p w14:paraId="752A5D50">
            <w:pPr>
              <w:adjustRightInd w:val="0"/>
              <w:snapToGrid w:val="0"/>
              <w:jc w:val="center"/>
              <w:rPr>
                <w:rFonts w:ascii="宋体" w:hAnsi="宋体"/>
                <w:color w:val="auto"/>
                <w:sz w:val="21"/>
                <w:szCs w:val="21"/>
                <w:highlight w:val="none"/>
              </w:rPr>
            </w:pPr>
          </w:p>
        </w:tc>
      </w:tr>
    </w:tbl>
    <w:p w14:paraId="37A4FD7A">
      <w:pPr>
        <w:spacing w:line="312" w:lineRule="auto"/>
        <w:rPr>
          <w:rFonts w:hint="eastAsia" w:ascii="宋体" w:hAnsi="宋体"/>
          <w:b/>
          <w:color w:val="auto"/>
          <w:sz w:val="21"/>
          <w:szCs w:val="21"/>
          <w:highlight w:val="none"/>
          <w:u w:val="double"/>
        </w:rPr>
      </w:pPr>
      <w:r>
        <w:rPr>
          <w:rFonts w:hint="eastAsia" w:ascii="宋体" w:hAnsi="宋体"/>
          <w:b/>
          <w:color w:val="auto"/>
          <w:sz w:val="21"/>
          <w:szCs w:val="21"/>
          <w:highlight w:val="none"/>
          <w:u w:val="double"/>
        </w:rPr>
        <w:t>填表说明及要求，本表附件（须附在本表格之后）：</w:t>
      </w:r>
    </w:p>
    <w:p w14:paraId="0FFE1F90">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1.  请在此表内填写拟派项目组人员情况；</w:t>
      </w:r>
    </w:p>
    <w:p w14:paraId="62B04CE0">
      <w:pPr>
        <w:tabs>
          <w:tab w:val="left" w:pos="540"/>
        </w:tabs>
        <w:snapToGrid w:val="0"/>
        <w:spacing w:line="312"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2.  所提交的证明材料内容请参照本项目的评审子项要求，否则在评审时该项证明材料无效。</w:t>
      </w:r>
    </w:p>
    <w:p w14:paraId="40C3E32D">
      <w:pPr>
        <w:tabs>
          <w:tab w:val="left" w:pos="540"/>
        </w:tabs>
        <w:snapToGrid w:val="0"/>
        <w:spacing w:line="312" w:lineRule="auto"/>
        <w:rPr>
          <w:rFonts w:hint="eastAsia" w:ascii="宋体" w:hAnsi="宋体"/>
          <w:color w:val="auto"/>
          <w:sz w:val="21"/>
          <w:szCs w:val="21"/>
          <w:highlight w:val="none"/>
          <w:lang w:val="en-GB"/>
        </w:rPr>
      </w:pPr>
      <w:r>
        <w:rPr>
          <w:rFonts w:ascii="宋体" w:hAnsi="宋体"/>
          <w:color w:val="auto"/>
          <w:sz w:val="21"/>
          <w:szCs w:val="21"/>
          <w:highlight w:val="none"/>
          <w:lang w:val="en-GB"/>
        </w:rPr>
        <w:t>3</w:t>
      </w:r>
      <w:r>
        <w:rPr>
          <w:rFonts w:hint="eastAsia" w:ascii="宋体" w:hAnsi="宋体"/>
          <w:color w:val="auto"/>
          <w:sz w:val="21"/>
          <w:szCs w:val="21"/>
          <w:highlight w:val="none"/>
          <w:lang w:val="en-GB"/>
        </w:rPr>
        <w:t>.  提供上述人员的资格证书（如有）复印件；</w:t>
      </w:r>
    </w:p>
    <w:p w14:paraId="2AABEA0C">
      <w:pPr>
        <w:tabs>
          <w:tab w:val="left" w:pos="540"/>
        </w:tabs>
        <w:snapToGrid w:val="0"/>
        <w:spacing w:line="312" w:lineRule="auto"/>
        <w:rPr>
          <w:rFonts w:hint="eastAsia" w:ascii="宋体" w:hAnsi="宋体"/>
          <w:color w:val="auto"/>
          <w:sz w:val="21"/>
          <w:szCs w:val="21"/>
          <w:highlight w:val="none"/>
          <w:u w:val="wave"/>
          <w:lang w:val="en-GB"/>
        </w:rPr>
      </w:pPr>
      <w:r>
        <w:rPr>
          <w:rFonts w:ascii="宋体" w:hAnsi="宋体"/>
          <w:color w:val="auto"/>
          <w:sz w:val="21"/>
          <w:szCs w:val="21"/>
          <w:highlight w:val="none"/>
          <w:lang w:val="en-GB"/>
        </w:rPr>
        <w:t>4</w:t>
      </w:r>
      <w:r>
        <w:rPr>
          <w:rFonts w:hint="eastAsia" w:ascii="宋体" w:hAnsi="宋体"/>
          <w:color w:val="auto"/>
          <w:sz w:val="21"/>
          <w:szCs w:val="21"/>
          <w:highlight w:val="none"/>
          <w:lang w:val="en-GB"/>
        </w:rPr>
        <w:t xml:space="preserve">.  </w:t>
      </w:r>
      <w:r>
        <w:rPr>
          <w:rFonts w:hint="eastAsia" w:ascii="宋体" w:hAnsi="宋体"/>
          <w:color w:val="auto"/>
          <w:sz w:val="21"/>
          <w:szCs w:val="21"/>
          <w:highlight w:val="none"/>
          <w:u w:val="wave"/>
          <w:lang w:val="en-GB"/>
        </w:rPr>
        <w:t>证明材料（复印件）均须加盖供应商单位公章。</w:t>
      </w:r>
    </w:p>
    <w:p w14:paraId="42603345">
      <w:pPr>
        <w:rPr>
          <w:rFonts w:hint="eastAsia" w:ascii="宋体" w:hAnsi="宋体"/>
          <w:color w:val="auto"/>
          <w:highlight w:val="none"/>
          <w:lang w:val="en-GB"/>
        </w:rPr>
      </w:pPr>
    </w:p>
    <w:p w14:paraId="4A6465FE">
      <w:pPr>
        <w:rPr>
          <w:rFonts w:hint="eastAsia" w:ascii="宋体" w:hAnsi="宋体"/>
          <w:color w:val="auto"/>
          <w:highlight w:val="none"/>
        </w:rPr>
      </w:pPr>
    </w:p>
    <w:p w14:paraId="38091639">
      <w:pPr>
        <w:pStyle w:val="4"/>
        <w:spacing w:after="156" w:afterLines="50"/>
        <w:jc w:val="center"/>
        <w:rPr>
          <w:rFonts w:hint="eastAsia"/>
          <w:color w:val="auto"/>
          <w:sz w:val="32"/>
          <w:highlight w:val="none"/>
        </w:rPr>
      </w:pPr>
      <w:r>
        <w:rPr>
          <w:rFonts w:hint="eastAsia"/>
          <w:color w:val="auto"/>
          <w:sz w:val="32"/>
          <w:highlight w:val="none"/>
        </w:rPr>
        <w:t>4</w:t>
      </w:r>
      <w:r>
        <w:rPr>
          <w:color w:val="auto"/>
          <w:sz w:val="32"/>
          <w:highlight w:val="none"/>
        </w:rPr>
        <w:t xml:space="preserve">.6 </w:t>
      </w:r>
      <w:r>
        <w:rPr>
          <w:rFonts w:hint="eastAsia"/>
          <w:color w:val="auto"/>
          <w:sz w:val="32"/>
          <w:highlight w:val="none"/>
        </w:rPr>
        <w:t>其它承诺</w:t>
      </w:r>
    </w:p>
    <w:p w14:paraId="3CC6F5F2">
      <w:pPr>
        <w:jc w:val="center"/>
        <w:rPr>
          <w:rFonts w:ascii="宋体" w:hAnsi="宋体"/>
          <w:color w:val="auto"/>
          <w:highlight w:val="none"/>
        </w:rPr>
      </w:pPr>
      <w:r>
        <w:rPr>
          <w:rFonts w:hint="eastAsia" w:ascii="宋体" w:hAnsi="宋体"/>
          <w:color w:val="auto"/>
          <w:sz w:val="28"/>
          <w:szCs w:val="28"/>
          <w:highlight w:val="none"/>
        </w:rPr>
        <w:t>（注：供应商根据自身情况扼要叙述，其内容由供应商自拟)</w:t>
      </w:r>
    </w:p>
    <w:p w14:paraId="008DBFAA">
      <w:pPr>
        <w:rPr>
          <w:rFonts w:hint="eastAsia" w:ascii="宋体" w:hAnsi="宋体"/>
          <w:color w:val="auto"/>
          <w:highlight w:val="none"/>
        </w:rPr>
      </w:pPr>
    </w:p>
    <w:p w14:paraId="5E7E0F0F">
      <w:pPr>
        <w:spacing w:line="360" w:lineRule="auto"/>
        <w:rPr>
          <w:rFonts w:hint="eastAsia" w:ascii="宋体" w:hAnsi="宋体"/>
          <w:color w:val="auto"/>
          <w:highlight w:val="none"/>
        </w:rPr>
      </w:pPr>
    </w:p>
    <w:p w14:paraId="7269533E">
      <w:pPr>
        <w:tabs>
          <w:tab w:val="left" w:pos="-3780"/>
        </w:tabs>
        <w:spacing w:line="360" w:lineRule="auto"/>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（公司名称）          </w:t>
      </w:r>
      <w:r>
        <w:rPr>
          <w:rFonts w:hint="eastAsia" w:ascii="宋体" w:hAnsi="宋体"/>
          <w:color w:val="auto"/>
          <w:highlight w:val="none"/>
        </w:rPr>
        <w:t>（盖公章）</w:t>
      </w:r>
    </w:p>
    <w:p w14:paraId="2F567A59">
      <w:pPr>
        <w:tabs>
          <w:tab w:val="left" w:pos="-3780"/>
        </w:tabs>
        <w:spacing w:line="360" w:lineRule="auto"/>
        <w:rPr>
          <w:rFonts w:ascii="宋体" w:hAnsi="宋体"/>
          <w:color w:val="auto"/>
          <w:highlight w:val="none"/>
          <w:u w:val="single"/>
        </w:rPr>
      </w:pPr>
      <w:r>
        <w:rPr>
          <w:rFonts w:hint="eastAsia" w:ascii="宋体" w:hAnsi="宋体"/>
          <w:color w:val="auto"/>
          <w:highlight w:val="none"/>
        </w:rPr>
        <w:t>法定代表人（或全权代表）：</w:t>
      </w:r>
      <w:r>
        <w:rPr>
          <w:rFonts w:hint="eastAsia" w:ascii="宋体" w:hAnsi="宋体"/>
          <w:color w:val="auto"/>
          <w:highlight w:val="none"/>
          <w:u w:val="single"/>
        </w:rPr>
        <w:t xml:space="preserve">    （签名或签章）  </w:t>
      </w:r>
    </w:p>
    <w:p w14:paraId="7D789331">
      <w:pPr>
        <w:rPr>
          <w:rFonts w:ascii="宋体" w:hAnsi="宋体"/>
          <w:color w:val="auto"/>
          <w:highlight w:val="none"/>
        </w:rPr>
      </w:pPr>
      <w:r>
        <w:rPr>
          <w:rFonts w:hint="eastAsia" w:ascii="宋体" w:hAnsi="宋体"/>
          <w:color w:val="auto"/>
          <w:highlight w:val="none"/>
        </w:rPr>
        <w:t>日期：    年    月    日</w:t>
      </w:r>
    </w:p>
    <w:p w14:paraId="2C6C60CB">
      <w:pPr>
        <w:rPr>
          <w:rFonts w:hint="eastAsia" w:ascii="宋体" w:hAnsi="宋体"/>
          <w:color w:val="auto"/>
          <w:highlight w:val="none"/>
        </w:rPr>
      </w:pPr>
    </w:p>
    <w:p w14:paraId="489590EC">
      <w:pPr>
        <w:pStyle w:val="4"/>
        <w:spacing w:after="156" w:afterLines="50"/>
        <w:jc w:val="center"/>
        <w:rPr>
          <w:rFonts w:hint="eastAsia"/>
          <w:color w:val="auto"/>
          <w:sz w:val="32"/>
          <w:highlight w:val="none"/>
        </w:rPr>
      </w:pPr>
      <w:r>
        <w:rPr>
          <w:rFonts w:hint="eastAsia"/>
          <w:color w:val="auto"/>
          <w:sz w:val="32"/>
          <w:highlight w:val="none"/>
        </w:rPr>
        <w:t>4</w:t>
      </w:r>
      <w:r>
        <w:rPr>
          <w:color w:val="auto"/>
          <w:sz w:val="32"/>
          <w:highlight w:val="none"/>
        </w:rPr>
        <w:t xml:space="preserve">.7 </w:t>
      </w:r>
      <w:r>
        <w:rPr>
          <w:rFonts w:hint="eastAsia"/>
          <w:color w:val="auto"/>
          <w:sz w:val="32"/>
          <w:highlight w:val="none"/>
        </w:rPr>
        <w:t>其它事项说明</w:t>
      </w:r>
    </w:p>
    <w:p w14:paraId="4CB73AC4">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（注：供应商根据自身情况扼要叙述，其内容由供应商自拟)</w:t>
      </w:r>
    </w:p>
    <w:p w14:paraId="4F2048A4">
      <w:pPr>
        <w:spacing w:line="360" w:lineRule="auto"/>
        <w:rPr>
          <w:rFonts w:hint="eastAsia" w:ascii="宋体" w:hAnsi="宋体"/>
          <w:color w:val="auto"/>
          <w:highlight w:val="none"/>
        </w:rPr>
      </w:pPr>
    </w:p>
    <w:p w14:paraId="1AB79E35">
      <w:pPr>
        <w:rPr>
          <w:rFonts w:ascii="宋体" w:hAnsi="宋体"/>
          <w:color w:val="auto"/>
          <w:highlight w:val="none"/>
        </w:rPr>
      </w:pPr>
      <w:r>
        <w:rPr>
          <w:rFonts w:ascii="宋体" w:hAnsi="宋体"/>
          <w:color w:val="auto"/>
          <w:highlight w:val="none"/>
        </w:rPr>
        <w:br w:type="page"/>
      </w:r>
    </w:p>
    <w:p w14:paraId="3A55135B">
      <w:pPr>
        <w:rPr>
          <w:rFonts w:ascii="宋体" w:hAnsi="宋体"/>
          <w:color w:val="auto"/>
          <w:highlight w:val="none"/>
        </w:rPr>
      </w:pPr>
    </w:p>
    <w:p w14:paraId="4C0CBE15">
      <w:pPr>
        <w:rPr>
          <w:rFonts w:ascii="宋体" w:hAnsi="宋体"/>
          <w:color w:val="auto"/>
          <w:highlight w:val="none"/>
        </w:rPr>
      </w:pPr>
    </w:p>
    <w:p w14:paraId="1F9B87EA">
      <w:pPr>
        <w:rPr>
          <w:rFonts w:ascii="宋体" w:hAnsi="宋体"/>
          <w:color w:val="auto"/>
          <w:highlight w:val="none"/>
        </w:rPr>
      </w:pPr>
    </w:p>
    <w:p w14:paraId="3908FEB3">
      <w:pPr>
        <w:rPr>
          <w:rFonts w:ascii="宋体" w:hAnsi="宋体"/>
          <w:color w:val="auto"/>
          <w:highlight w:val="none"/>
        </w:rPr>
      </w:pPr>
    </w:p>
    <w:p w14:paraId="1D742606">
      <w:pPr>
        <w:rPr>
          <w:rFonts w:ascii="宋体" w:hAnsi="宋体"/>
          <w:color w:val="auto"/>
          <w:highlight w:val="none"/>
        </w:rPr>
      </w:pPr>
    </w:p>
    <w:p w14:paraId="0C07626A">
      <w:pPr>
        <w:rPr>
          <w:rFonts w:ascii="宋体" w:hAnsi="宋体"/>
          <w:color w:val="auto"/>
          <w:highlight w:val="none"/>
        </w:rPr>
      </w:pPr>
    </w:p>
    <w:p w14:paraId="72B96521">
      <w:pPr>
        <w:rPr>
          <w:rFonts w:ascii="宋体" w:hAnsi="宋体"/>
          <w:color w:val="auto"/>
          <w:highlight w:val="none"/>
        </w:rPr>
      </w:pPr>
    </w:p>
    <w:p w14:paraId="0899E0E2">
      <w:pPr>
        <w:rPr>
          <w:rFonts w:ascii="宋体" w:hAnsi="宋体"/>
          <w:color w:val="auto"/>
          <w:highlight w:val="none"/>
        </w:rPr>
      </w:pPr>
    </w:p>
    <w:p w14:paraId="1C816C4A">
      <w:pPr>
        <w:rPr>
          <w:rFonts w:ascii="宋体" w:hAnsi="宋体"/>
          <w:color w:val="auto"/>
          <w:highlight w:val="none"/>
        </w:rPr>
      </w:pPr>
    </w:p>
    <w:p w14:paraId="091B6BB5">
      <w:pPr>
        <w:rPr>
          <w:rFonts w:ascii="宋体" w:hAnsi="宋体"/>
          <w:color w:val="auto"/>
          <w:highlight w:val="none"/>
        </w:rPr>
      </w:pPr>
    </w:p>
    <w:p w14:paraId="19E9303F">
      <w:pPr>
        <w:rPr>
          <w:rFonts w:ascii="宋体" w:hAnsi="宋体"/>
          <w:color w:val="auto"/>
          <w:highlight w:val="none"/>
        </w:rPr>
      </w:pPr>
    </w:p>
    <w:p w14:paraId="5C1AB787">
      <w:pPr>
        <w:rPr>
          <w:rFonts w:ascii="宋体" w:hAnsi="宋体"/>
          <w:color w:val="auto"/>
          <w:highlight w:val="none"/>
        </w:rPr>
      </w:pPr>
    </w:p>
    <w:p w14:paraId="3D22AAA9">
      <w:pPr>
        <w:rPr>
          <w:rFonts w:ascii="宋体" w:hAnsi="宋体"/>
          <w:color w:val="auto"/>
          <w:highlight w:val="none"/>
        </w:rPr>
      </w:pPr>
    </w:p>
    <w:p w14:paraId="1E96C271">
      <w:pPr>
        <w:rPr>
          <w:rFonts w:ascii="宋体" w:hAnsi="宋体"/>
          <w:color w:val="auto"/>
          <w:highlight w:val="none"/>
        </w:rPr>
      </w:pPr>
    </w:p>
    <w:p w14:paraId="1B5D4559">
      <w:pPr>
        <w:rPr>
          <w:rFonts w:ascii="宋体" w:hAnsi="宋体"/>
          <w:color w:val="auto"/>
          <w:highlight w:val="none"/>
        </w:rPr>
      </w:pPr>
    </w:p>
    <w:p w14:paraId="356C6C67">
      <w:pPr>
        <w:rPr>
          <w:rFonts w:ascii="宋体" w:hAnsi="宋体"/>
          <w:color w:val="auto"/>
          <w:highlight w:val="none"/>
        </w:rPr>
      </w:pPr>
    </w:p>
    <w:p w14:paraId="01090812">
      <w:pPr>
        <w:rPr>
          <w:rFonts w:ascii="宋体" w:hAnsi="宋体"/>
          <w:color w:val="auto"/>
          <w:highlight w:val="none"/>
        </w:rPr>
      </w:pPr>
    </w:p>
    <w:p w14:paraId="7E1E3A02">
      <w:pPr>
        <w:rPr>
          <w:rFonts w:ascii="宋体" w:hAnsi="宋体"/>
          <w:color w:val="auto"/>
          <w:highlight w:val="none"/>
        </w:rPr>
      </w:pPr>
    </w:p>
    <w:p w14:paraId="20FE4F76">
      <w:pPr>
        <w:rPr>
          <w:rFonts w:ascii="宋体" w:hAnsi="宋体"/>
          <w:color w:val="auto"/>
          <w:highlight w:val="none"/>
        </w:rPr>
      </w:pPr>
    </w:p>
    <w:p w14:paraId="572E037C">
      <w:pPr>
        <w:rPr>
          <w:rFonts w:ascii="宋体" w:hAnsi="宋体"/>
          <w:color w:val="auto"/>
          <w:highlight w:val="none"/>
        </w:rPr>
      </w:pPr>
    </w:p>
    <w:p w14:paraId="5CBCC4E9">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bookmarkStart w:id="125" w:name="_Toc14935"/>
      <w:r>
        <w:rPr>
          <w:rFonts w:hint="eastAsia" w:ascii="Cambria" w:hAnsi="Cambria" w:eastAsia="宋体" w:cs="Times New Roman"/>
          <w:b/>
          <w:bCs/>
          <w:color w:val="auto"/>
          <w:kern w:val="2"/>
          <w:sz w:val="52"/>
          <w:szCs w:val="32"/>
          <w:highlight w:val="none"/>
          <w:lang w:val="en-US" w:eastAsia="zh-CN" w:bidi="ar-SA"/>
        </w:rPr>
        <w:t>第五章  技术部分</w:t>
      </w:r>
      <w:bookmarkEnd w:id="125"/>
    </w:p>
    <w:p w14:paraId="385515D8">
      <w:pPr>
        <w:spacing w:line="360" w:lineRule="auto"/>
        <w:rPr>
          <w:rFonts w:ascii="宋体" w:hAnsi="宋体"/>
          <w:color w:val="auto"/>
          <w:highlight w:val="none"/>
        </w:rPr>
      </w:pPr>
    </w:p>
    <w:p w14:paraId="513D5BFB">
      <w:pPr>
        <w:spacing w:line="360" w:lineRule="auto"/>
        <w:rPr>
          <w:rFonts w:hint="eastAsia" w:ascii="宋体" w:hAnsi="宋体"/>
          <w:color w:val="auto"/>
          <w:highlight w:val="none"/>
        </w:rPr>
      </w:pPr>
    </w:p>
    <w:p w14:paraId="69CF54CB">
      <w:pPr>
        <w:rPr>
          <w:rFonts w:ascii="宋体" w:hAnsi="宋体"/>
          <w:color w:val="auto"/>
          <w:highlight w:val="none"/>
        </w:rPr>
      </w:pPr>
      <w:r>
        <w:rPr>
          <w:rFonts w:ascii="宋体" w:hAnsi="宋体"/>
          <w:color w:val="auto"/>
          <w:highlight w:val="none"/>
        </w:rPr>
        <w:br w:type="page"/>
      </w:r>
    </w:p>
    <w:p w14:paraId="1A80F2BF">
      <w:pPr>
        <w:pStyle w:val="4"/>
        <w:spacing w:after="156" w:afterLines="50"/>
        <w:jc w:val="center"/>
        <w:rPr>
          <w:color w:val="auto"/>
          <w:sz w:val="32"/>
          <w:highlight w:val="none"/>
        </w:rPr>
      </w:pPr>
      <w:r>
        <w:rPr>
          <w:rFonts w:hint="eastAsia"/>
          <w:color w:val="auto"/>
          <w:sz w:val="32"/>
          <w:highlight w:val="none"/>
        </w:rPr>
        <w:t>5</w:t>
      </w:r>
      <w:r>
        <w:rPr>
          <w:color w:val="auto"/>
          <w:sz w:val="32"/>
          <w:highlight w:val="none"/>
        </w:rPr>
        <w:t xml:space="preserve">.1 </w:t>
      </w:r>
      <w:r>
        <w:rPr>
          <w:rFonts w:hint="eastAsia"/>
          <w:color w:val="auto"/>
          <w:sz w:val="32"/>
          <w:highlight w:val="none"/>
        </w:rPr>
        <w:t>技术条款差异说明表</w:t>
      </w:r>
    </w:p>
    <w:p w14:paraId="1062E6D7">
      <w:pPr>
        <w:rPr>
          <w:rFonts w:hint="eastAsia" w:ascii="宋体" w:hAnsi="宋体"/>
          <w:color w:val="auto"/>
          <w:highlight w:val="none"/>
        </w:rPr>
      </w:pPr>
      <w:r>
        <w:rPr>
          <w:rFonts w:hint="eastAsia" w:ascii="宋体" w:hAnsi="宋体"/>
          <w:color w:val="auto"/>
          <w:highlight w:val="none"/>
        </w:rPr>
        <w:t>采购项目名称：</w:t>
      </w:r>
      <w:r>
        <w:rPr>
          <w:rFonts w:hint="eastAsia" w:ascii="宋体" w:hAnsi="宋体"/>
          <w:color w:val="auto"/>
          <w:highlight w:val="none"/>
          <w:lang w:eastAsia="zh-CN"/>
        </w:rPr>
        <w:t>佛山市养老养生健康产业园项目保安服务</w:t>
      </w:r>
      <w:r>
        <w:rPr>
          <w:rFonts w:hint="eastAsia" w:ascii="宋体" w:hAnsi="宋体"/>
          <w:color w:val="auto"/>
          <w:highlight w:val="none"/>
        </w:rPr>
        <w:t xml:space="preserve"> </w:t>
      </w:r>
    </w:p>
    <w:p w14:paraId="1C051A17">
      <w:pPr>
        <w:rPr>
          <w:rFonts w:hint="eastAsia" w:ascii="宋体" w:hAnsi="宋体" w:eastAsia="宋体"/>
          <w:color w:val="auto"/>
          <w:highlight w:val="none"/>
          <w:lang w:eastAsia="zh-CN"/>
        </w:rPr>
      </w:pPr>
      <w:r>
        <w:rPr>
          <w:rFonts w:hint="eastAsia" w:ascii="宋体" w:hAnsi="宋体"/>
          <w:color w:val="auto"/>
          <w:highlight w:val="none"/>
        </w:rPr>
        <w:t>采购项目编号：</w:t>
      </w:r>
      <w:r>
        <w:rPr>
          <w:rFonts w:hint="eastAsia" w:ascii="宋体" w:hAnsi="宋体"/>
          <w:color w:val="auto"/>
          <w:highlight w:val="none"/>
          <w:lang w:eastAsia="zh-CN"/>
        </w:rPr>
        <w:t>HRC24FSCS0501</w:t>
      </w:r>
    </w:p>
    <w:tbl>
      <w:tblPr>
        <w:tblStyle w:val="15"/>
        <w:tblW w:w="0" w:type="auto"/>
        <w:tblInd w:w="-15" w:type="dxa"/>
        <w:tblLayout w:type="fixed"/>
        <w:tblCellMar>
          <w:top w:w="0" w:type="dxa"/>
          <w:left w:w="108" w:type="dxa"/>
          <w:bottom w:w="0" w:type="dxa"/>
          <w:right w:w="108" w:type="dxa"/>
        </w:tblCellMar>
      </w:tblPr>
      <w:tblGrid>
        <w:gridCol w:w="508"/>
        <w:gridCol w:w="3540"/>
        <w:gridCol w:w="3056"/>
        <w:gridCol w:w="2440"/>
      </w:tblGrid>
      <w:tr w14:paraId="5A43A394">
        <w:tblPrEx>
          <w:tblCellMar>
            <w:top w:w="0" w:type="dxa"/>
            <w:left w:w="108" w:type="dxa"/>
            <w:bottom w:w="0" w:type="dxa"/>
            <w:right w:w="108" w:type="dxa"/>
          </w:tblCellMar>
        </w:tblPrEx>
        <w:trPr>
          <w:trHeight w:val="1038" w:hRule="atLeast"/>
        </w:trPr>
        <w:tc>
          <w:tcPr>
            <w:tcW w:w="508" w:type="dxa"/>
            <w:tcBorders>
              <w:top w:val="single" w:color="000000" w:sz="12" w:space="0"/>
              <w:left w:val="single" w:color="000000" w:sz="12" w:space="0"/>
              <w:bottom w:val="double" w:color="000000" w:sz="4" w:space="0"/>
              <w:right w:val="single" w:color="000000" w:sz="4" w:space="0"/>
            </w:tcBorders>
            <w:shd w:val="clear" w:color="auto" w:fill="A4A4A4"/>
            <w:noWrap w:val="0"/>
            <w:vAlign w:val="center"/>
          </w:tcPr>
          <w:p w14:paraId="4307C1CE">
            <w:pPr>
              <w:ind w:left="-89" w:right="-91" w:firstLine="0"/>
              <w:jc w:val="center"/>
              <w:rPr>
                <w:rFonts w:ascii="宋体" w:hAnsi="宋体" w:cs="宋体"/>
                <w:color w:val="auto"/>
                <w:szCs w:val="21"/>
                <w:highlight w:val="none"/>
              </w:rPr>
            </w:pPr>
            <w:r>
              <w:rPr>
                <w:rFonts w:ascii="宋体" w:hAnsi="宋体" w:cs="宋体"/>
                <w:color w:val="auto"/>
                <w:highlight w:val="none"/>
              </w:rPr>
              <w:t>序号</w:t>
            </w:r>
          </w:p>
        </w:tc>
        <w:tc>
          <w:tcPr>
            <w:tcW w:w="3540" w:type="dxa"/>
            <w:tcBorders>
              <w:top w:val="single" w:color="000000" w:sz="12" w:space="0"/>
              <w:left w:val="single" w:color="000000" w:sz="4" w:space="0"/>
              <w:bottom w:val="double" w:color="000000" w:sz="4" w:space="0"/>
              <w:right w:val="single" w:color="000000" w:sz="4" w:space="0"/>
            </w:tcBorders>
            <w:shd w:val="clear" w:color="auto" w:fill="A4A4A4"/>
            <w:noWrap w:val="0"/>
            <w:vAlign w:val="center"/>
          </w:tcPr>
          <w:p w14:paraId="1ECC20DA">
            <w:pPr>
              <w:ind w:left="-89" w:right="-91" w:firstLine="0"/>
              <w:jc w:val="center"/>
              <w:rPr>
                <w:rFonts w:ascii="宋体" w:hAnsi="宋体" w:cs="宋体"/>
                <w:color w:val="auto"/>
                <w:highlight w:val="none"/>
              </w:rPr>
            </w:pPr>
            <w:r>
              <w:rPr>
                <w:rFonts w:ascii="宋体" w:hAnsi="宋体" w:cs="宋体"/>
                <w:color w:val="auto"/>
                <w:highlight w:val="none"/>
                <w:lang w:eastAsia="zh-CN"/>
              </w:rPr>
              <w:t>磋商</w:t>
            </w:r>
            <w:r>
              <w:rPr>
                <w:rFonts w:ascii="宋体" w:hAnsi="宋体" w:cs="宋体"/>
                <w:color w:val="auto"/>
                <w:highlight w:val="none"/>
              </w:rPr>
              <w:t>文件条款描述</w:t>
            </w:r>
          </w:p>
        </w:tc>
        <w:tc>
          <w:tcPr>
            <w:tcW w:w="3056" w:type="dxa"/>
            <w:tcBorders>
              <w:top w:val="single" w:color="000000" w:sz="12" w:space="0"/>
              <w:left w:val="single" w:color="000000" w:sz="4" w:space="0"/>
              <w:bottom w:val="double" w:color="000000" w:sz="4" w:space="0"/>
              <w:right w:val="single" w:color="000000" w:sz="2" w:space="0"/>
            </w:tcBorders>
            <w:shd w:val="clear" w:color="auto" w:fill="A4A4A4"/>
            <w:noWrap w:val="0"/>
            <w:vAlign w:val="center"/>
          </w:tcPr>
          <w:p w14:paraId="213FBEC9">
            <w:pPr>
              <w:ind w:left="-103" w:right="-91" w:firstLine="0"/>
              <w:jc w:val="center"/>
              <w:rPr>
                <w:rFonts w:ascii="宋体" w:hAnsi="宋体" w:cs="宋体"/>
                <w:color w:val="auto"/>
                <w:highlight w:val="none"/>
              </w:rPr>
            </w:pPr>
            <w:r>
              <w:rPr>
                <w:rFonts w:ascii="宋体" w:hAnsi="宋体" w:cs="宋体"/>
                <w:color w:val="auto"/>
                <w:highlight w:val="none"/>
              </w:rPr>
              <w:t>响应文件条款</w:t>
            </w:r>
          </w:p>
        </w:tc>
        <w:tc>
          <w:tcPr>
            <w:tcW w:w="2440" w:type="dxa"/>
            <w:tcBorders>
              <w:top w:val="single" w:color="000000" w:sz="12" w:space="0"/>
              <w:left w:val="single" w:color="000000" w:sz="2" w:space="0"/>
              <w:bottom w:val="double" w:color="000000" w:sz="4" w:space="0"/>
              <w:right w:val="single" w:color="000000" w:sz="12" w:space="0"/>
            </w:tcBorders>
            <w:shd w:val="clear" w:color="auto" w:fill="A4A4A4"/>
            <w:noWrap w:val="0"/>
            <w:vAlign w:val="center"/>
          </w:tcPr>
          <w:p w14:paraId="5F8ABAB8">
            <w:pPr>
              <w:ind w:left="-89" w:right="-91" w:firstLine="0"/>
              <w:jc w:val="center"/>
              <w:rPr>
                <w:rFonts w:ascii="宋体" w:hAnsi="宋体" w:cs="宋体"/>
                <w:color w:val="auto"/>
                <w:highlight w:val="none"/>
              </w:rPr>
            </w:pPr>
            <w:r>
              <w:rPr>
                <w:rFonts w:ascii="宋体" w:hAnsi="宋体" w:cs="宋体"/>
                <w:color w:val="auto"/>
                <w:highlight w:val="none"/>
              </w:rPr>
              <w:t>偏离情况说明</w:t>
            </w:r>
          </w:p>
          <w:p w14:paraId="632D9120">
            <w:pPr>
              <w:ind w:left="-89" w:right="-91" w:firstLine="0"/>
              <w:jc w:val="center"/>
              <w:rPr>
                <w:rFonts w:ascii="宋体" w:hAnsi="宋体" w:eastAsia="宋体" w:cs="宋体"/>
                <w:color w:val="auto"/>
                <w:highlight w:val="none"/>
                <w:lang w:eastAsia="zh-CN"/>
              </w:rPr>
            </w:pPr>
            <w:r>
              <w:rPr>
                <w:rFonts w:ascii="宋体" w:hAnsi="宋体" w:cs="宋体"/>
                <w:color w:val="auto"/>
                <w:highlight w:val="none"/>
                <w:lang w:eastAsia="zh-CN"/>
              </w:rPr>
              <w:t>（</w:t>
            </w:r>
            <w:r>
              <w:rPr>
                <w:rFonts w:ascii="宋体" w:hAnsi="宋体" w:cs="宋体"/>
                <w:color w:val="auto"/>
                <w:highlight w:val="none"/>
              </w:rPr>
              <w:t>正偏离/完全响应/负偏离</w:t>
            </w:r>
            <w:r>
              <w:rPr>
                <w:rFonts w:ascii="宋体" w:hAnsi="宋体" w:cs="宋体"/>
                <w:color w:val="auto"/>
                <w:highlight w:val="none"/>
                <w:lang w:eastAsia="zh-CN"/>
              </w:rPr>
              <w:t>）</w:t>
            </w:r>
          </w:p>
        </w:tc>
      </w:tr>
      <w:tr w14:paraId="40090DC8">
        <w:tblPrEx>
          <w:tblCellMar>
            <w:top w:w="0" w:type="dxa"/>
            <w:left w:w="108" w:type="dxa"/>
            <w:bottom w:w="0" w:type="dxa"/>
            <w:right w:w="108" w:type="dxa"/>
          </w:tblCellMar>
        </w:tblPrEx>
        <w:trPr>
          <w:trHeight w:val="750" w:hRule="atLeast"/>
        </w:trPr>
        <w:tc>
          <w:tcPr>
            <w:tcW w:w="508" w:type="dxa"/>
            <w:tcBorders>
              <w:top w:val="single" w:color="000000" w:sz="4" w:space="0"/>
              <w:left w:val="single" w:color="000000" w:sz="12" w:space="0"/>
              <w:bottom w:val="single" w:color="000000" w:sz="4" w:space="0"/>
              <w:right w:val="single" w:color="000000" w:sz="4" w:space="0"/>
            </w:tcBorders>
            <w:noWrap w:val="0"/>
            <w:vAlign w:val="center"/>
          </w:tcPr>
          <w:p w14:paraId="288EAA57">
            <w:pPr>
              <w:numPr>
                <w:ilvl w:val="0"/>
                <w:numId w:val="55"/>
              </w:numPr>
              <w:tabs>
                <w:tab w:val="left" w:pos="142"/>
              </w:tabs>
              <w:snapToGrid w:val="0"/>
              <w:jc w:val="center"/>
              <w:rPr>
                <w:rFonts w:ascii="宋体" w:hAnsi="宋体" w:eastAsia="宋体" w:cs="宋体"/>
                <w:color w:val="auto"/>
                <w:szCs w:val="21"/>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3B81A0C3">
            <w:pPr>
              <w:snapToGrid w:val="0"/>
              <w:ind w:left="-89" w:right="-91" w:firstLine="0"/>
              <w:jc w:val="center"/>
              <w:rPr>
                <w:rFonts w:ascii="宋体" w:hAnsi="宋体" w:cs="宋体"/>
                <w:color w:val="auto"/>
                <w:szCs w:val="21"/>
                <w:highlight w:val="none"/>
              </w:rPr>
            </w:pPr>
          </w:p>
        </w:tc>
        <w:tc>
          <w:tcPr>
            <w:tcW w:w="3056" w:type="dxa"/>
            <w:tcBorders>
              <w:top w:val="single" w:color="000000" w:sz="4" w:space="0"/>
              <w:left w:val="single" w:color="000000" w:sz="4" w:space="0"/>
              <w:bottom w:val="single" w:color="000000" w:sz="4" w:space="0"/>
              <w:right w:val="single" w:color="000000" w:sz="2" w:space="0"/>
            </w:tcBorders>
            <w:noWrap w:val="0"/>
            <w:vAlign w:val="center"/>
          </w:tcPr>
          <w:p w14:paraId="0917E00C">
            <w:pPr>
              <w:ind w:left="-89" w:right="-91" w:firstLine="0"/>
              <w:jc w:val="center"/>
              <w:rPr>
                <w:rFonts w:ascii="宋体" w:hAnsi="宋体" w:cs="宋体"/>
                <w:color w:val="auto"/>
                <w:highlight w:val="none"/>
              </w:rPr>
            </w:pPr>
            <w:r>
              <w:rPr>
                <w:rFonts w:ascii="宋体" w:hAnsi="宋体" w:cs="宋体"/>
                <w:color w:val="auto"/>
                <w:highlight w:val="none"/>
              </w:rPr>
              <w:t>我单位完全理解和响应磋商</w:t>
            </w:r>
          </w:p>
          <w:p w14:paraId="63388153">
            <w:pPr>
              <w:ind w:left="-89" w:right="-91" w:firstLine="0"/>
              <w:jc w:val="both"/>
              <w:rPr>
                <w:rFonts w:ascii="宋体" w:hAnsi="宋体" w:cs="宋体"/>
                <w:color w:val="auto"/>
                <w:highlight w:val="none"/>
              </w:rPr>
            </w:pPr>
            <w:r>
              <w:rPr>
                <w:rFonts w:ascii="宋体" w:hAnsi="宋体" w:cs="宋体"/>
                <w:color w:val="auto"/>
                <w:highlight w:val="none"/>
              </w:rPr>
              <w:t>文件中的技术条款及参数，不存在任何异议。</w:t>
            </w:r>
          </w:p>
        </w:tc>
        <w:tc>
          <w:tcPr>
            <w:tcW w:w="2440" w:type="dxa"/>
            <w:tcBorders>
              <w:top w:val="single" w:color="000000" w:sz="4" w:space="0"/>
              <w:left w:val="single" w:color="000000" w:sz="2" w:space="0"/>
              <w:bottom w:val="single" w:color="000000" w:sz="4" w:space="0"/>
              <w:right w:val="single" w:color="000000" w:sz="12" w:space="0"/>
            </w:tcBorders>
            <w:noWrap w:val="0"/>
            <w:vAlign w:val="center"/>
          </w:tcPr>
          <w:p w14:paraId="56EC9816">
            <w:pPr>
              <w:snapToGrid w:val="0"/>
              <w:ind w:left="-89" w:right="-91" w:firstLine="0"/>
              <w:jc w:val="center"/>
              <w:rPr>
                <w:rFonts w:ascii="宋体" w:hAnsi="宋体" w:cs="宋体"/>
                <w:color w:val="auto"/>
                <w:highlight w:val="none"/>
              </w:rPr>
            </w:pPr>
          </w:p>
        </w:tc>
      </w:tr>
      <w:tr w14:paraId="7372F32A">
        <w:tblPrEx>
          <w:tblCellMar>
            <w:top w:w="0" w:type="dxa"/>
            <w:left w:w="108" w:type="dxa"/>
            <w:bottom w:w="0" w:type="dxa"/>
            <w:right w:w="108" w:type="dxa"/>
          </w:tblCellMar>
        </w:tblPrEx>
        <w:trPr>
          <w:trHeight w:val="750" w:hRule="atLeast"/>
        </w:trPr>
        <w:tc>
          <w:tcPr>
            <w:tcW w:w="508" w:type="dxa"/>
            <w:tcBorders>
              <w:top w:val="single" w:color="000000" w:sz="4" w:space="0"/>
              <w:left w:val="single" w:color="000000" w:sz="12" w:space="0"/>
              <w:bottom w:val="single" w:color="000000" w:sz="4" w:space="0"/>
              <w:right w:val="single" w:color="000000" w:sz="4" w:space="0"/>
            </w:tcBorders>
            <w:noWrap w:val="0"/>
            <w:vAlign w:val="center"/>
          </w:tcPr>
          <w:p w14:paraId="38AFC3BA">
            <w:pPr>
              <w:numPr>
                <w:ilvl w:val="0"/>
                <w:numId w:val="55"/>
              </w:numPr>
              <w:tabs>
                <w:tab w:val="left" w:pos="142"/>
              </w:tabs>
              <w:snapToGrid w:val="0"/>
              <w:jc w:val="center"/>
              <w:rPr>
                <w:rFonts w:ascii="宋体" w:hAnsi="宋体" w:cs="宋体"/>
                <w:color w:val="auto"/>
                <w:szCs w:val="21"/>
                <w:highlight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57756040">
            <w:pPr>
              <w:snapToGrid w:val="0"/>
              <w:ind w:left="-89" w:right="-91" w:firstLine="0"/>
              <w:jc w:val="center"/>
              <w:rPr>
                <w:rFonts w:ascii="宋体" w:hAnsi="宋体" w:cs="宋体"/>
                <w:color w:val="auto"/>
                <w:szCs w:val="21"/>
                <w:highlight w:val="none"/>
              </w:rPr>
            </w:pPr>
          </w:p>
        </w:tc>
        <w:tc>
          <w:tcPr>
            <w:tcW w:w="3056" w:type="dxa"/>
            <w:tcBorders>
              <w:top w:val="single" w:color="000000" w:sz="4" w:space="0"/>
              <w:left w:val="single" w:color="000000" w:sz="4" w:space="0"/>
              <w:bottom w:val="single" w:color="000000" w:sz="4" w:space="0"/>
              <w:right w:val="single" w:color="000000" w:sz="2" w:space="0"/>
            </w:tcBorders>
            <w:noWrap w:val="0"/>
            <w:vAlign w:val="center"/>
          </w:tcPr>
          <w:p w14:paraId="39465223">
            <w:pPr>
              <w:snapToGrid w:val="0"/>
              <w:ind w:left="-89" w:right="-91" w:firstLine="0"/>
              <w:jc w:val="center"/>
              <w:rPr>
                <w:rFonts w:ascii="宋体" w:hAnsi="宋体" w:cs="宋体"/>
                <w:color w:val="auto"/>
                <w:highlight w:val="none"/>
              </w:rPr>
            </w:pPr>
          </w:p>
        </w:tc>
        <w:tc>
          <w:tcPr>
            <w:tcW w:w="2440" w:type="dxa"/>
            <w:tcBorders>
              <w:top w:val="single" w:color="000000" w:sz="4" w:space="0"/>
              <w:left w:val="single" w:color="000000" w:sz="2" w:space="0"/>
              <w:bottom w:val="single" w:color="000000" w:sz="4" w:space="0"/>
              <w:right w:val="single" w:color="000000" w:sz="12" w:space="0"/>
            </w:tcBorders>
            <w:noWrap w:val="0"/>
            <w:vAlign w:val="center"/>
          </w:tcPr>
          <w:p w14:paraId="4E1A306D">
            <w:pPr>
              <w:snapToGrid w:val="0"/>
              <w:ind w:left="-89" w:right="-91" w:firstLine="0"/>
              <w:jc w:val="center"/>
              <w:rPr>
                <w:rFonts w:ascii="宋体" w:hAnsi="宋体" w:cs="宋体"/>
                <w:color w:val="auto"/>
                <w:highlight w:val="none"/>
              </w:rPr>
            </w:pPr>
          </w:p>
        </w:tc>
      </w:tr>
      <w:tr w14:paraId="489CD039">
        <w:tblPrEx>
          <w:tblCellMar>
            <w:top w:w="0" w:type="dxa"/>
            <w:left w:w="108" w:type="dxa"/>
            <w:bottom w:w="0" w:type="dxa"/>
            <w:right w:w="108" w:type="dxa"/>
          </w:tblCellMar>
        </w:tblPrEx>
        <w:trPr>
          <w:trHeight w:val="750" w:hRule="atLeast"/>
        </w:trPr>
        <w:tc>
          <w:tcPr>
            <w:tcW w:w="508" w:type="dxa"/>
            <w:tcBorders>
              <w:top w:val="single" w:color="000000" w:sz="4" w:space="0"/>
              <w:left w:val="single" w:color="000000" w:sz="12" w:space="0"/>
              <w:bottom w:val="single" w:color="000000" w:sz="4" w:space="0"/>
              <w:right w:val="single" w:color="000000" w:sz="4" w:space="0"/>
            </w:tcBorders>
            <w:noWrap w:val="0"/>
            <w:vAlign w:val="center"/>
          </w:tcPr>
          <w:p w14:paraId="1C724DBB">
            <w:pPr>
              <w:numPr>
                <w:ilvl w:val="0"/>
                <w:numId w:val="55"/>
              </w:numPr>
              <w:tabs>
                <w:tab w:val="left" w:pos="142"/>
              </w:tabs>
              <w:snapToGrid w:val="0"/>
              <w:jc w:val="center"/>
              <w:rPr>
                <w:rFonts w:ascii="宋体" w:hAnsi="宋体" w:cs="宋体"/>
                <w:color w:val="auto"/>
                <w:szCs w:val="21"/>
                <w:highlight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14353B54">
            <w:pPr>
              <w:snapToGrid w:val="0"/>
              <w:ind w:left="-89" w:right="-91" w:firstLine="0"/>
              <w:jc w:val="center"/>
              <w:rPr>
                <w:rFonts w:ascii="宋体" w:hAnsi="宋体" w:cs="宋体"/>
                <w:color w:val="auto"/>
                <w:szCs w:val="21"/>
                <w:highlight w:val="none"/>
              </w:rPr>
            </w:pPr>
          </w:p>
        </w:tc>
        <w:tc>
          <w:tcPr>
            <w:tcW w:w="3056" w:type="dxa"/>
            <w:tcBorders>
              <w:top w:val="single" w:color="000000" w:sz="4" w:space="0"/>
              <w:left w:val="single" w:color="000000" w:sz="4" w:space="0"/>
              <w:bottom w:val="single" w:color="000000" w:sz="4" w:space="0"/>
              <w:right w:val="single" w:color="000000" w:sz="2" w:space="0"/>
            </w:tcBorders>
            <w:noWrap w:val="0"/>
            <w:vAlign w:val="center"/>
          </w:tcPr>
          <w:p w14:paraId="1949AFA1">
            <w:pPr>
              <w:snapToGrid w:val="0"/>
              <w:ind w:left="-89" w:right="-91" w:firstLine="0"/>
              <w:jc w:val="center"/>
              <w:rPr>
                <w:rFonts w:ascii="宋体" w:hAnsi="宋体" w:cs="宋体"/>
                <w:color w:val="auto"/>
                <w:highlight w:val="none"/>
              </w:rPr>
            </w:pPr>
          </w:p>
        </w:tc>
        <w:tc>
          <w:tcPr>
            <w:tcW w:w="2440" w:type="dxa"/>
            <w:tcBorders>
              <w:top w:val="single" w:color="000000" w:sz="4" w:space="0"/>
              <w:left w:val="single" w:color="000000" w:sz="2" w:space="0"/>
              <w:bottom w:val="single" w:color="000000" w:sz="4" w:space="0"/>
              <w:right w:val="single" w:color="000000" w:sz="12" w:space="0"/>
            </w:tcBorders>
            <w:noWrap w:val="0"/>
            <w:vAlign w:val="center"/>
          </w:tcPr>
          <w:p w14:paraId="7CA6A0D6">
            <w:pPr>
              <w:snapToGrid w:val="0"/>
              <w:ind w:left="-89" w:right="-91" w:firstLine="0"/>
              <w:jc w:val="center"/>
              <w:rPr>
                <w:rFonts w:ascii="宋体" w:hAnsi="宋体" w:cs="宋体"/>
                <w:color w:val="auto"/>
                <w:highlight w:val="none"/>
              </w:rPr>
            </w:pPr>
          </w:p>
        </w:tc>
      </w:tr>
      <w:tr w14:paraId="2376A67C">
        <w:tblPrEx>
          <w:tblCellMar>
            <w:top w:w="0" w:type="dxa"/>
            <w:left w:w="108" w:type="dxa"/>
            <w:bottom w:w="0" w:type="dxa"/>
            <w:right w:w="108" w:type="dxa"/>
          </w:tblCellMar>
        </w:tblPrEx>
        <w:trPr>
          <w:trHeight w:val="750" w:hRule="atLeast"/>
        </w:trPr>
        <w:tc>
          <w:tcPr>
            <w:tcW w:w="9544" w:type="dxa"/>
            <w:gridSpan w:val="4"/>
            <w:tcBorders>
              <w:top w:val="single" w:color="000000" w:sz="4" w:space="0"/>
              <w:left w:val="single" w:color="000000" w:sz="12" w:space="0"/>
              <w:bottom w:val="single" w:color="000000" w:sz="12" w:space="0"/>
              <w:right w:val="single" w:color="000000" w:sz="12" w:space="0"/>
            </w:tcBorders>
            <w:noWrap w:val="0"/>
            <w:vAlign w:val="center"/>
          </w:tcPr>
          <w:p w14:paraId="7AA6BF4D">
            <w:pPr>
              <w:ind w:left="-89" w:right="-91" w:firstLine="0"/>
              <w:jc w:val="left"/>
              <w:rPr>
                <w:rFonts w:ascii="宋体" w:hAnsi="宋体" w:eastAsia="宋体" w:cs="宋体"/>
                <w:b/>
                <w:bCs/>
                <w:color w:val="auto"/>
                <w:highlight w:val="none"/>
                <w:lang w:eastAsia="zh-CN"/>
              </w:rPr>
            </w:pPr>
            <w:r>
              <w:rPr>
                <w:rFonts w:ascii="宋体" w:hAnsi="宋体" w:cs="宋体"/>
                <w:b/>
                <w:bCs/>
                <w:color w:val="auto"/>
                <w:highlight w:val="none"/>
              </w:rPr>
              <w:t>技术条款承诺</w:t>
            </w:r>
            <w:r>
              <w:rPr>
                <w:rFonts w:ascii="宋体" w:hAnsi="宋体" w:cs="宋体"/>
                <w:b/>
                <w:bCs/>
                <w:color w:val="auto"/>
                <w:highlight w:val="none"/>
                <w:lang w:eastAsia="zh-CN"/>
              </w:rPr>
              <w:t>：</w:t>
            </w:r>
          </w:p>
          <w:p w14:paraId="3D56B4B8">
            <w:pPr>
              <w:numPr>
                <w:ilvl w:val="0"/>
                <w:numId w:val="56"/>
              </w:numPr>
              <w:ind w:left="0" w:right="-91" w:firstLine="0"/>
              <w:jc w:val="left"/>
              <w:rPr>
                <w:rFonts w:ascii="宋体" w:hAnsi="宋体" w:cs="宋体"/>
                <w:color w:val="auto"/>
                <w:highlight w:val="none"/>
              </w:rPr>
            </w:pPr>
            <w:r>
              <w:rPr>
                <w:rFonts w:ascii="宋体" w:hAnsi="宋体" w:cs="宋体"/>
                <w:color w:val="auto"/>
                <w:highlight w:val="none"/>
              </w:rPr>
              <w:t>在上述承诺基础上，若我单位对技术条款中的选择项（具有选择性的技术条款）未能提出差异说明，均响应并按照最优项提供。</w:t>
            </w:r>
          </w:p>
          <w:p w14:paraId="537C508D">
            <w:pPr>
              <w:ind w:left="-89" w:right="-91" w:firstLine="0"/>
              <w:jc w:val="left"/>
              <w:rPr>
                <w:rFonts w:ascii="宋体" w:hAnsi="宋体" w:cs="宋体"/>
                <w:color w:val="auto"/>
                <w:highlight w:val="none"/>
              </w:rPr>
            </w:pPr>
            <w:r>
              <w:rPr>
                <w:rFonts w:ascii="宋体" w:hAnsi="宋体" w:cs="宋体"/>
                <w:color w:val="auto"/>
                <w:highlight w:val="none"/>
              </w:rPr>
              <w:t>2、若本表与磋商文件其他内容有差异，以本表描述内容为主。</w:t>
            </w:r>
          </w:p>
          <w:p w14:paraId="260DE472">
            <w:pPr>
              <w:ind w:left="-89" w:right="-91" w:firstLine="0"/>
              <w:jc w:val="left"/>
              <w:rPr>
                <w:rFonts w:ascii="宋体" w:hAnsi="宋体" w:cs="宋体"/>
                <w:color w:val="auto"/>
                <w:highlight w:val="none"/>
              </w:rPr>
            </w:pPr>
            <w:r>
              <w:rPr>
                <w:rFonts w:ascii="宋体" w:hAnsi="宋体" w:cs="宋体"/>
                <w:color w:val="auto"/>
                <w:highlight w:val="none"/>
              </w:rPr>
              <w:t>3、本表格空白则视为完全响应全部技术条款。</w:t>
            </w:r>
          </w:p>
        </w:tc>
      </w:tr>
    </w:tbl>
    <w:p w14:paraId="122ABAE1">
      <w:pPr>
        <w:spacing w:line="260" w:lineRule="exact"/>
        <w:rPr>
          <w:rFonts w:ascii="宋体" w:hAnsi="宋体" w:cs="宋体"/>
          <w:color w:val="auto"/>
          <w:highlight w:val="none"/>
        </w:rPr>
      </w:pPr>
    </w:p>
    <w:p w14:paraId="0566E456">
      <w:pPr>
        <w:rPr>
          <w:b w:val="0"/>
          <w:bCs/>
          <w:color w:val="auto"/>
          <w:highlight w:val="none"/>
          <w:u w:val="none"/>
        </w:rPr>
      </w:pPr>
      <w:r>
        <w:rPr>
          <w:b w:val="0"/>
          <w:bCs/>
          <w:color w:val="auto"/>
          <w:highlight w:val="none"/>
          <w:u w:val="none"/>
        </w:rPr>
        <w:t>注：</w:t>
      </w:r>
    </w:p>
    <w:p w14:paraId="5BCE9EA8">
      <w:pPr>
        <w:rPr>
          <w:b w:val="0"/>
          <w:bCs/>
          <w:color w:val="auto"/>
          <w:highlight w:val="none"/>
          <w:u w:val="none"/>
        </w:rPr>
      </w:pPr>
      <w:r>
        <w:rPr>
          <w:b w:val="0"/>
          <w:bCs/>
          <w:color w:val="auto"/>
          <w:highlight w:val="none"/>
          <w:u w:val="none"/>
        </w:rPr>
        <w:t>(1)本表对应内容为磋商文件中的“采购项目技术要求”的内容；</w:t>
      </w:r>
    </w:p>
    <w:p w14:paraId="16CBED9F">
      <w:pPr>
        <w:rPr>
          <w:b w:val="0"/>
          <w:bCs/>
          <w:color w:val="auto"/>
          <w:highlight w:val="none"/>
          <w:u w:val="none"/>
        </w:rPr>
      </w:pPr>
      <w:r>
        <w:rPr>
          <w:b w:val="0"/>
          <w:bCs/>
          <w:color w:val="auto"/>
          <w:highlight w:val="none"/>
          <w:u w:val="none"/>
        </w:rPr>
        <w:t>(2)本表中已填写的内容仅为参考，供应商可根据实际情况自行填写；</w:t>
      </w:r>
    </w:p>
    <w:p w14:paraId="7B36CDB6">
      <w:pPr>
        <w:rPr>
          <w:b w:val="0"/>
          <w:bCs/>
          <w:color w:val="auto"/>
          <w:highlight w:val="none"/>
          <w:u w:val="none"/>
        </w:rPr>
      </w:pPr>
      <w:r>
        <w:rPr>
          <w:b w:val="0"/>
          <w:bCs/>
          <w:color w:val="auto"/>
          <w:highlight w:val="none"/>
          <w:u w:val="none"/>
        </w:rPr>
        <w:t>(3) 完全响应情形。若供应商完全响应，则可按表中表述内容进行填写；</w:t>
      </w:r>
    </w:p>
    <w:p w14:paraId="44FF0539">
      <w:pPr>
        <w:rPr>
          <w:b w:val="0"/>
          <w:bCs/>
          <w:color w:val="auto"/>
          <w:highlight w:val="none"/>
          <w:u w:val="none"/>
        </w:rPr>
      </w:pPr>
      <w:r>
        <w:rPr>
          <w:b w:val="0"/>
          <w:bCs/>
          <w:color w:val="auto"/>
          <w:highlight w:val="none"/>
          <w:u w:val="none"/>
        </w:rPr>
        <w:t>(4) 偏离情形。若供应商存在偏离情况，则可按下述顺序进行填写：</w:t>
      </w:r>
    </w:p>
    <w:p w14:paraId="6028BB2C">
      <w:pPr>
        <w:rPr>
          <w:b w:val="0"/>
          <w:bCs/>
          <w:color w:val="auto"/>
          <w:highlight w:val="none"/>
          <w:u w:val="none"/>
        </w:rPr>
      </w:pPr>
      <w:r>
        <w:rPr>
          <w:b w:val="0"/>
          <w:bCs/>
          <w:color w:val="auto"/>
          <w:highlight w:val="none"/>
          <w:u w:val="none"/>
        </w:rPr>
        <w:t>1)在“磋商文件要求”栏中填写磋商文件的条款原文；</w:t>
      </w:r>
    </w:p>
    <w:p w14:paraId="11B3AC17">
      <w:pPr>
        <w:rPr>
          <w:b w:val="0"/>
          <w:bCs/>
          <w:color w:val="auto"/>
          <w:highlight w:val="none"/>
          <w:u w:val="none"/>
        </w:rPr>
      </w:pPr>
      <w:r>
        <w:rPr>
          <w:b w:val="0"/>
          <w:bCs/>
          <w:color w:val="auto"/>
          <w:highlight w:val="none"/>
          <w:u w:val="none"/>
        </w:rPr>
        <w:t>2)在“响应文件条款”栏中填写响应文件与上述第“1)</w:t>
      </w:r>
      <w:r>
        <w:rPr>
          <w:rFonts w:ascii="宋体" w:hAnsi="宋体" w:cs="宋体"/>
          <w:b w:val="0"/>
          <w:bCs/>
          <w:color w:val="auto"/>
          <w:highlight w:val="none"/>
          <w:u w:val="none"/>
        </w:rPr>
        <w:t>”</w:t>
      </w:r>
      <w:r>
        <w:rPr>
          <w:b w:val="0"/>
          <w:bCs/>
          <w:color w:val="auto"/>
          <w:highlight w:val="none"/>
          <w:u w:val="none"/>
        </w:rPr>
        <w:t>项对应内容的响应条款；</w:t>
      </w:r>
    </w:p>
    <w:p w14:paraId="61B54225">
      <w:pPr>
        <w:rPr>
          <w:b w:val="0"/>
          <w:bCs/>
          <w:color w:val="auto"/>
          <w:highlight w:val="none"/>
          <w:u w:val="none"/>
        </w:rPr>
      </w:pPr>
      <w:r>
        <w:rPr>
          <w:b w:val="0"/>
          <w:bCs/>
          <w:color w:val="auto"/>
          <w:highlight w:val="none"/>
          <w:u w:val="none"/>
        </w:rPr>
        <w:t>3)在“偏离情况（正/无/负偏离）”栏中填写偏离情况，如：正偏离、无偏离、负偏离；</w:t>
      </w:r>
    </w:p>
    <w:p w14:paraId="46ABF168">
      <w:pPr>
        <w:rPr>
          <w:b w:val="0"/>
          <w:bCs/>
          <w:color w:val="auto"/>
          <w:highlight w:val="none"/>
          <w:u w:val="none"/>
        </w:rPr>
      </w:pPr>
      <w:r>
        <w:rPr>
          <w:b w:val="0"/>
          <w:bCs/>
          <w:color w:val="auto"/>
          <w:highlight w:val="none"/>
          <w:u w:val="none"/>
        </w:rPr>
        <w:t>(5)本表可在原有基础上增项填写；</w:t>
      </w:r>
    </w:p>
    <w:p w14:paraId="5E4C7E8B">
      <w:pPr>
        <w:rPr>
          <w:b w:val="0"/>
          <w:bCs/>
          <w:color w:val="auto"/>
          <w:highlight w:val="none"/>
          <w:u w:val="none"/>
        </w:rPr>
      </w:pPr>
      <w:r>
        <w:rPr>
          <w:b w:val="0"/>
          <w:bCs/>
          <w:color w:val="auto"/>
          <w:highlight w:val="none"/>
          <w:u w:val="none"/>
        </w:rPr>
        <w:t>(6)编制响应文件时此注释文字可删除。</w:t>
      </w:r>
    </w:p>
    <w:p w14:paraId="6E3D95DF">
      <w:pPr>
        <w:rPr>
          <w:rFonts w:ascii="宋体" w:hAnsi="宋体"/>
          <w:color w:val="auto"/>
          <w:highlight w:val="none"/>
        </w:rPr>
      </w:pPr>
    </w:p>
    <w:p w14:paraId="55068390">
      <w:pPr>
        <w:tabs>
          <w:tab w:val="left" w:pos="-3780"/>
        </w:tabs>
        <w:spacing w:line="360" w:lineRule="auto"/>
        <w:rPr>
          <w:color w:val="auto"/>
          <w:szCs w:val="24"/>
          <w:highlight w:val="none"/>
        </w:rPr>
      </w:pPr>
      <w:r>
        <w:rPr>
          <w:color w:val="auto"/>
          <w:szCs w:val="24"/>
          <w:highlight w:val="none"/>
        </w:rPr>
        <w:t>供应商：</w:t>
      </w:r>
      <w:r>
        <w:rPr>
          <w:color w:val="auto"/>
          <w:szCs w:val="24"/>
          <w:highlight w:val="none"/>
          <w:u w:val="single"/>
        </w:rPr>
        <w:t xml:space="preserve">         （公司名称）          </w:t>
      </w:r>
      <w:r>
        <w:rPr>
          <w:color w:val="auto"/>
          <w:szCs w:val="24"/>
          <w:highlight w:val="none"/>
        </w:rPr>
        <w:t>（盖公章）</w:t>
      </w:r>
    </w:p>
    <w:p w14:paraId="466D9802">
      <w:pPr>
        <w:tabs>
          <w:tab w:val="left" w:pos="-3780"/>
        </w:tabs>
        <w:spacing w:line="360" w:lineRule="auto"/>
        <w:rPr>
          <w:color w:val="auto"/>
          <w:szCs w:val="24"/>
          <w:highlight w:val="none"/>
          <w:u w:val="single"/>
        </w:rPr>
      </w:pPr>
      <w:r>
        <w:rPr>
          <w:color w:val="auto"/>
          <w:szCs w:val="24"/>
          <w:highlight w:val="none"/>
        </w:rPr>
        <w:t>法定代表人（或全权代表）：</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（签名或签章）</w:t>
      </w:r>
    </w:p>
    <w:p w14:paraId="2E70E686">
      <w:pPr>
        <w:tabs>
          <w:tab w:val="left" w:pos="-3780"/>
        </w:tabs>
        <w:spacing w:line="360" w:lineRule="auto"/>
        <w:rPr>
          <w:rFonts w:eastAsia="黑体"/>
          <w:color w:val="auto"/>
          <w:szCs w:val="24"/>
          <w:highlight w:val="none"/>
        </w:rPr>
      </w:pPr>
      <w:r>
        <w:rPr>
          <w:color w:val="auto"/>
          <w:szCs w:val="24"/>
          <w:highlight w:val="none"/>
        </w:rPr>
        <w:t>承诺日期：</w:t>
      </w: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color w:val="auto"/>
          <w:szCs w:val="24"/>
          <w:highlight w:val="none"/>
        </w:rPr>
        <w:t xml:space="preserve"> 月</w:t>
      </w:r>
      <w:r>
        <w:rPr>
          <w:color w:val="auto"/>
          <w:szCs w:val="24"/>
          <w:highlight w:val="none"/>
          <w:u w:val="single"/>
        </w:rPr>
        <w:t xml:space="preserve">        </w:t>
      </w:r>
      <w:r>
        <w:rPr>
          <w:color w:val="auto"/>
          <w:szCs w:val="24"/>
          <w:highlight w:val="none"/>
        </w:rPr>
        <w:t>日</w:t>
      </w:r>
    </w:p>
    <w:p w14:paraId="3FFFA668">
      <w:pPr>
        <w:rPr>
          <w:rFonts w:ascii="宋体" w:hAnsi="宋体"/>
          <w:color w:val="auto"/>
          <w:highlight w:val="none"/>
        </w:rPr>
      </w:pPr>
      <w:r>
        <w:rPr>
          <w:rFonts w:ascii="宋体" w:hAnsi="宋体"/>
          <w:color w:val="auto"/>
          <w:highlight w:val="none"/>
        </w:rPr>
        <w:br w:type="page"/>
      </w:r>
    </w:p>
    <w:p w14:paraId="5E824E42">
      <w:pPr>
        <w:pStyle w:val="4"/>
        <w:spacing w:after="156" w:afterLines="50"/>
        <w:jc w:val="center"/>
        <w:rPr>
          <w:rFonts w:hint="eastAsia"/>
          <w:color w:val="auto"/>
          <w:sz w:val="32"/>
          <w:highlight w:val="none"/>
        </w:rPr>
      </w:pPr>
      <w:r>
        <w:rPr>
          <w:rFonts w:hint="eastAsia"/>
          <w:color w:val="auto"/>
          <w:sz w:val="32"/>
          <w:highlight w:val="none"/>
        </w:rPr>
        <w:t>5</w:t>
      </w:r>
      <w:r>
        <w:rPr>
          <w:color w:val="auto"/>
          <w:sz w:val="32"/>
          <w:highlight w:val="none"/>
        </w:rPr>
        <w:t xml:space="preserve">.2 </w:t>
      </w:r>
      <w:r>
        <w:rPr>
          <w:rFonts w:hint="eastAsia"/>
          <w:color w:val="auto"/>
          <w:sz w:val="32"/>
          <w:highlight w:val="none"/>
        </w:rPr>
        <w:t>实施方案</w:t>
      </w:r>
    </w:p>
    <w:p w14:paraId="247AAA6A">
      <w:pPr>
        <w:tabs>
          <w:tab w:val="left" w:pos="540"/>
        </w:tabs>
        <w:spacing w:line="360" w:lineRule="auto"/>
        <w:rPr>
          <w:rFonts w:hint="eastAsia" w:ascii="宋体" w:hAnsi="宋体"/>
          <w:b/>
          <w:color w:val="auto"/>
          <w:highlight w:val="none"/>
          <w:lang w:val="en-GB"/>
        </w:rPr>
      </w:pPr>
    </w:p>
    <w:p w14:paraId="2BC58C87">
      <w:pPr>
        <w:tabs>
          <w:tab w:val="left" w:pos="540"/>
        </w:tabs>
        <w:spacing w:line="360" w:lineRule="auto"/>
        <w:rPr>
          <w:rFonts w:hint="eastAsia" w:ascii="宋体" w:hAnsi="宋体"/>
          <w:b/>
          <w:color w:val="auto"/>
          <w:highlight w:val="none"/>
          <w:lang w:val="en-GB"/>
        </w:rPr>
      </w:pPr>
      <w:r>
        <w:rPr>
          <w:rFonts w:hint="eastAsia" w:ascii="宋体" w:hAnsi="宋体"/>
          <w:b/>
          <w:color w:val="auto"/>
          <w:highlight w:val="none"/>
          <w:lang w:val="en-GB"/>
        </w:rPr>
        <w:t>注：</w:t>
      </w:r>
    </w:p>
    <w:p w14:paraId="76AA9EBC">
      <w:pPr>
        <w:tabs>
          <w:tab w:val="left" w:pos="540"/>
        </w:tabs>
        <w:spacing w:line="360" w:lineRule="auto"/>
        <w:ind w:left="480" w:hanging="480" w:hangingChars="200"/>
        <w:rPr>
          <w:rFonts w:hint="eastAsia" w:ascii="宋体" w:hAnsi="宋体"/>
          <w:color w:val="auto"/>
          <w:highlight w:val="none"/>
          <w:lang w:val="en-GB"/>
        </w:rPr>
      </w:pPr>
      <w:r>
        <w:rPr>
          <w:rFonts w:hint="eastAsia" w:ascii="宋体" w:hAnsi="宋体"/>
          <w:color w:val="auto"/>
          <w:highlight w:val="none"/>
          <w:lang w:val="en-GB"/>
        </w:rPr>
        <w:t>1.  请各供应商针对本项目的评审方法、评审子项或评分内容内容进行详细描述说明，自行编写。</w:t>
      </w:r>
    </w:p>
    <w:p w14:paraId="4E9F6F94">
      <w:pPr>
        <w:tabs>
          <w:tab w:val="left" w:pos="540"/>
        </w:tabs>
        <w:spacing w:line="360" w:lineRule="auto"/>
        <w:ind w:left="480" w:hanging="480" w:hangingChars="200"/>
        <w:rPr>
          <w:rFonts w:ascii="宋体" w:hAnsi="宋体"/>
          <w:color w:val="auto"/>
          <w:highlight w:val="none"/>
          <w:lang w:val="en-GB"/>
        </w:rPr>
      </w:pPr>
      <w:r>
        <w:rPr>
          <w:rFonts w:hint="eastAsia" w:ascii="宋体" w:hAnsi="宋体"/>
          <w:color w:val="auto"/>
          <w:highlight w:val="none"/>
          <w:lang w:val="en-GB"/>
        </w:rPr>
        <w:t>2.  实施方案设计须以符合国家、行业政策法规和社会公众利益为前提，充分体现出自身的技术优势和特点，突出其扩展性、先进性、可靠性。</w:t>
      </w:r>
    </w:p>
    <w:p w14:paraId="462E75AF">
      <w:pPr>
        <w:spacing w:line="360" w:lineRule="auto"/>
        <w:rPr>
          <w:rFonts w:ascii="宋体" w:hAnsi="宋体"/>
          <w:color w:val="auto"/>
          <w:highlight w:val="none"/>
        </w:rPr>
      </w:pPr>
    </w:p>
    <w:p w14:paraId="3A595010">
      <w:pPr>
        <w:rPr>
          <w:rFonts w:hint="eastAsia" w:ascii="宋体" w:hAnsi="宋体"/>
          <w:color w:val="auto"/>
          <w:highlight w:val="none"/>
        </w:rPr>
      </w:pPr>
    </w:p>
    <w:p w14:paraId="15F76E98">
      <w:pPr>
        <w:rPr>
          <w:rFonts w:ascii="宋体" w:hAnsi="宋体"/>
          <w:color w:val="auto"/>
          <w:highlight w:val="none"/>
        </w:rPr>
      </w:pPr>
      <w:r>
        <w:rPr>
          <w:rFonts w:ascii="宋体" w:hAnsi="宋体"/>
          <w:color w:val="auto"/>
          <w:highlight w:val="none"/>
        </w:rPr>
        <w:br w:type="page"/>
      </w:r>
    </w:p>
    <w:p w14:paraId="0CC52C4D">
      <w:pPr>
        <w:rPr>
          <w:rFonts w:ascii="宋体" w:hAnsi="宋体"/>
          <w:color w:val="auto"/>
          <w:highlight w:val="none"/>
        </w:rPr>
      </w:pPr>
    </w:p>
    <w:p w14:paraId="5C9DC797">
      <w:pPr>
        <w:rPr>
          <w:rFonts w:ascii="宋体" w:hAnsi="宋体"/>
          <w:color w:val="auto"/>
          <w:highlight w:val="none"/>
        </w:rPr>
      </w:pPr>
    </w:p>
    <w:p w14:paraId="1990BBEB">
      <w:pPr>
        <w:rPr>
          <w:rFonts w:ascii="宋体" w:hAnsi="宋体"/>
          <w:color w:val="auto"/>
          <w:highlight w:val="none"/>
        </w:rPr>
      </w:pPr>
    </w:p>
    <w:p w14:paraId="38F39044">
      <w:pPr>
        <w:rPr>
          <w:rFonts w:ascii="宋体" w:hAnsi="宋体"/>
          <w:color w:val="auto"/>
          <w:highlight w:val="none"/>
        </w:rPr>
      </w:pPr>
    </w:p>
    <w:p w14:paraId="01010F29">
      <w:pPr>
        <w:rPr>
          <w:rFonts w:ascii="宋体" w:hAnsi="宋体"/>
          <w:color w:val="auto"/>
          <w:highlight w:val="none"/>
        </w:rPr>
      </w:pPr>
    </w:p>
    <w:p w14:paraId="736F9FC8">
      <w:pPr>
        <w:rPr>
          <w:rFonts w:ascii="宋体" w:hAnsi="宋体"/>
          <w:color w:val="auto"/>
          <w:highlight w:val="none"/>
        </w:rPr>
      </w:pPr>
    </w:p>
    <w:p w14:paraId="175ADFB2">
      <w:pPr>
        <w:rPr>
          <w:rFonts w:ascii="宋体" w:hAnsi="宋体"/>
          <w:color w:val="auto"/>
          <w:highlight w:val="none"/>
        </w:rPr>
      </w:pPr>
    </w:p>
    <w:p w14:paraId="2A819695">
      <w:pPr>
        <w:rPr>
          <w:rFonts w:ascii="宋体" w:hAnsi="宋体"/>
          <w:color w:val="auto"/>
          <w:highlight w:val="none"/>
        </w:rPr>
      </w:pPr>
    </w:p>
    <w:p w14:paraId="5450A8EA">
      <w:pPr>
        <w:rPr>
          <w:rFonts w:ascii="宋体" w:hAnsi="宋体"/>
          <w:color w:val="auto"/>
          <w:highlight w:val="none"/>
        </w:rPr>
      </w:pPr>
    </w:p>
    <w:p w14:paraId="7BD410FF">
      <w:pPr>
        <w:rPr>
          <w:rFonts w:ascii="宋体" w:hAnsi="宋体"/>
          <w:color w:val="auto"/>
          <w:highlight w:val="none"/>
        </w:rPr>
      </w:pPr>
    </w:p>
    <w:p w14:paraId="78E0DEF4">
      <w:pPr>
        <w:rPr>
          <w:rFonts w:ascii="宋体" w:hAnsi="宋体"/>
          <w:color w:val="auto"/>
          <w:highlight w:val="none"/>
        </w:rPr>
      </w:pPr>
    </w:p>
    <w:p w14:paraId="0F4A7BB9">
      <w:pPr>
        <w:rPr>
          <w:rFonts w:ascii="宋体" w:hAnsi="宋体"/>
          <w:color w:val="auto"/>
          <w:highlight w:val="none"/>
        </w:rPr>
      </w:pPr>
    </w:p>
    <w:p w14:paraId="6F5DC419">
      <w:pPr>
        <w:rPr>
          <w:rFonts w:ascii="宋体" w:hAnsi="宋体"/>
          <w:color w:val="auto"/>
          <w:highlight w:val="none"/>
        </w:rPr>
      </w:pPr>
    </w:p>
    <w:p w14:paraId="2D214ADA">
      <w:pPr>
        <w:rPr>
          <w:rFonts w:ascii="宋体" w:hAnsi="宋体"/>
          <w:color w:val="auto"/>
          <w:highlight w:val="none"/>
        </w:rPr>
      </w:pPr>
    </w:p>
    <w:p w14:paraId="5B8BBA7D">
      <w:pPr>
        <w:rPr>
          <w:rFonts w:ascii="宋体" w:hAnsi="宋体"/>
          <w:color w:val="auto"/>
          <w:highlight w:val="none"/>
        </w:rPr>
      </w:pPr>
    </w:p>
    <w:p w14:paraId="51976021">
      <w:pPr>
        <w:rPr>
          <w:rFonts w:ascii="宋体" w:hAnsi="宋体"/>
          <w:color w:val="auto"/>
          <w:highlight w:val="none"/>
        </w:rPr>
      </w:pPr>
    </w:p>
    <w:p w14:paraId="336082E9">
      <w:pPr>
        <w:rPr>
          <w:rFonts w:ascii="宋体" w:hAnsi="宋体"/>
          <w:color w:val="auto"/>
          <w:highlight w:val="none"/>
        </w:rPr>
      </w:pPr>
    </w:p>
    <w:p w14:paraId="0B2B351A">
      <w:pPr>
        <w:rPr>
          <w:rFonts w:ascii="宋体" w:hAnsi="宋体"/>
          <w:color w:val="auto"/>
          <w:highlight w:val="none"/>
        </w:rPr>
      </w:pPr>
    </w:p>
    <w:p w14:paraId="5EDD1DAE">
      <w:pPr>
        <w:rPr>
          <w:rFonts w:ascii="宋体" w:hAnsi="宋体"/>
          <w:color w:val="auto"/>
          <w:highlight w:val="none"/>
        </w:rPr>
      </w:pPr>
    </w:p>
    <w:p w14:paraId="03285950">
      <w:pPr>
        <w:rPr>
          <w:rFonts w:ascii="宋体" w:hAnsi="宋体"/>
          <w:color w:val="auto"/>
          <w:highlight w:val="none"/>
        </w:rPr>
      </w:pPr>
    </w:p>
    <w:p w14:paraId="037DEFB5">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bookmarkStart w:id="126" w:name="_Toc10734"/>
      <w:r>
        <w:rPr>
          <w:rFonts w:hint="eastAsia" w:ascii="Cambria" w:hAnsi="Cambria" w:eastAsia="宋体" w:cs="Times New Roman"/>
          <w:b/>
          <w:bCs/>
          <w:color w:val="auto"/>
          <w:kern w:val="2"/>
          <w:sz w:val="52"/>
          <w:szCs w:val="32"/>
          <w:highlight w:val="none"/>
          <w:lang w:val="en-US" w:eastAsia="zh-CN" w:bidi="ar-SA"/>
        </w:rPr>
        <w:t>第六章  价格部分</w:t>
      </w:r>
      <w:bookmarkEnd w:id="126"/>
    </w:p>
    <w:p w14:paraId="31104BD7">
      <w:pPr>
        <w:spacing w:line="360" w:lineRule="auto"/>
        <w:rPr>
          <w:rFonts w:ascii="宋体" w:hAnsi="宋体"/>
          <w:color w:val="auto"/>
          <w:highlight w:val="none"/>
        </w:rPr>
      </w:pPr>
    </w:p>
    <w:p w14:paraId="5E21BA6F">
      <w:pPr>
        <w:spacing w:line="360" w:lineRule="auto"/>
        <w:rPr>
          <w:rFonts w:hint="eastAsia" w:ascii="宋体" w:hAnsi="宋体"/>
          <w:color w:val="auto"/>
          <w:highlight w:val="none"/>
        </w:rPr>
      </w:pPr>
    </w:p>
    <w:p w14:paraId="5DE4AE63">
      <w:pPr>
        <w:rPr>
          <w:rFonts w:ascii="宋体" w:hAnsi="宋体"/>
          <w:color w:val="auto"/>
          <w:highlight w:val="none"/>
        </w:rPr>
      </w:pPr>
      <w:r>
        <w:rPr>
          <w:rFonts w:ascii="宋体" w:hAnsi="宋体"/>
          <w:color w:val="auto"/>
          <w:highlight w:val="none"/>
        </w:rPr>
        <w:br w:type="page"/>
      </w:r>
    </w:p>
    <w:p w14:paraId="22825E3D">
      <w:pPr>
        <w:pStyle w:val="4"/>
        <w:spacing w:after="156" w:afterLines="50"/>
        <w:jc w:val="center"/>
        <w:rPr>
          <w:color w:val="auto"/>
          <w:sz w:val="32"/>
          <w:highlight w:val="none"/>
        </w:rPr>
      </w:pPr>
      <w:r>
        <w:rPr>
          <w:rFonts w:hint="eastAsia"/>
          <w:color w:val="auto"/>
          <w:sz w:val="32"/>
          <w:highlight w:val="none"/>
        </w:rPr>
        <w:t>6.1 报价一览表</w:t>
      </w:r>
    </w:p>
    <w:p w14:paraId="5454E567">
      <w:pPr>
        <w:tabs>
          <w:tab w:val="left" w:pos="6946"/>
        </w:tabs>
        <w:spacing w:line="360" w:lineRule="auto"/>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采购项目名称：佛山市养老养生健康产业园项目保安服务</w:t>
      </w:r>
    </w:p>
    <w:p w14:paraId="11B0F818">
      <w:pPr>
        <w:tabs>
          <w:tab w:val="left" w:pos="6946"/>
        </w:tabs>
        <w:spacing w:line="360" w:lineRule="auto"/>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采购项目编号：HRC24FSCS0501</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7217"/>
      </w:tblGrid>
      <w:tr w14:paraId="5E60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22" w:type="dxa"/>
            <w:noWrap w:val="0"/>
            <w:vAlign w:val="center"/>
          </w:tcPr>
          <w:p w14:paraId="35328329">
            <w:pPr>
              <w:spacing w:line="360" w:lineRule="auto"/>
              <w:jc w:val="center"/>
              <w:rPr>
                <w:rFonts w:ascii="宋体" w:hAnsi="宋体"/>
                <w:color w:val="auto"/>
                <w:sz w:val="22"/>
                <w:highlight w:val="none"/>
              </w:rPr>
            </w:pPr>
            <w:r>
              <w:rPr>
                <w:rFonts w:hint="eastAsia" w:ascii="宋体" w:hAnsi="宋体" w:eastAsia="宋体" w:cs="宋体"/>
                <w:szCs w:val="24"/>
                <w:highlight w:val="none"/>
                <w:lang w:val="en-US" w:eastAsia="zh-CN"/>
              </w:rPr>
              <w:t>供应商名称</w:t>
            </w:r>
          </w:p>
        </w:tc>
        <w:tc>
          <w:tcPr>
            <w:tcW w:w="7217" w:type="dxa"/>
            <w:noWrap w:val="0"/>
            <w:vAlign w:val="center"/>
          </w:tcPr>
          <w:p w14:paraId="37596122">
            <w:pPr>
              <w:spacing w:line="360" w:lineRule="auto"/>
              <w:jc w:val="center"/>
              <w:rPr>
                <w:rFonts w:ascii="宋体" w:hAnsi="宋体"/>
                <w:color w:val="auto"/>
                <w:sz w:val="22"/>
                <w:highlight w:val="none"/>
              </w:rPr>
            </w:pPr>
          </w:p>
        </w:tc>
      </w:tr>
      <w:tr w14:paraId="4C68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422" w:type="dxa"/>
            <w:vMerge w:val="restart"/>
            <w:noWrap w:val="0"/>
            <w:vAlign w:val="center"/>
          </w:tcPr>
          <w:p w14:paraId="341057BF">
            <w:pPr>
              <w:spacing w:line="360" w:lineRule="auto"/>
              <w:jc w:val="center"/>
              <w:rPr>
                <w:rFonts w:hint="eastAsia" w:ascii="宋体" w:hAnsi="宋体" w:cs="宋体"/>
                <w:szCs w:val="24"/>
                <w:highlight w:val="none"/>
                <w:lang w:val="en-US" w:eastAsia="zh-CN"/>
              </w:rPr>
            </w:pPr>
            <w:r>
              <w:rPr>
                <w:rFonts w:hint="eastAsia" w:ascii="宋体" w:hAnsi="宋体" w:cs="宋体"/>
                <w:szCs w:val="24"/>
                <w:highlight w:val="none"/>
                <w:lang w:val="en-US" w:eastAsia="zh-CN"/>
              </w:rPr>
              <w:t>每名保安员</w:t>
            </w:r>
          </w:p>
          <w:p w14:paraId="0A8208FC">
            <w:pPr>
              <w:spacing w:line="360" w:lineRule="auto"/>
              <w:jc w:val="center"/>
              <w:rPr>
                <w:rFonts w:hint="default" w:ascii="宋体" w:hAnsi="宋体" w:eastAsia="宋体"/>
                <w:color w:val="auto"/>
                <w:sz w:val="22"/>
                <w:highlight w:val="none"/>
                <w:lang w:val="en-US" w:eastAsia="zh-CN"/>
              </w:rPr>
            </w:pPr>
            <w:r>
              <w:rPr>
                <w:rFonts w:hint="eastAsia" w:ascii="宋体" w:hAnsi="宋体" w:cs="宋体"/>
                <w:szCs w:val="24"/>
                <w:highlight w:val="none"/>
                <w:lang w:val="en-US" w:eastAsia="zh-CN"/>
              </w:rPr>
              <w:t>每月工资报价（元）</w:t>
            </w:r>
          </w:p>
        </w:tc>
        <w:tc>
          <w:tcPr>
            <w:tcW w:w="7217" w:type="dxa"/>
            <w:noWrap w:val="0"/>
            <w:vAlign w:val="center"/>
          </w:tcPr>
          <w:p w14:paraId="4027BAFD">
            <w:pPr>
              <w:spacing w:line="360" w:lineRule="auto"/>
              <w:jc w:val="left"/>
              <w:rPr>
                <w:rFonts w:ascii="宋体" w:hAnsi="宋体"/>
                <w:color w:val="auto"/>
                <w:sz w:val="22"/>
                <w:highlight w:val="none"/>
              </w:rPr>
            </w:pPr>
            <w:r>
              <w:rPr>
                <w:rFonts w:hint="eastAsia" w:ascii="宋体" w:hAnsi="宋体" w:cs="宋体"/>
                <w:szCs w:val="24"/>
                <w:highlight w:val="none"/>
              </w:rPr>
              <w:t xml:space="preserve">小写：￥             </w:t>
            </w:r>
          </w:p>
        </w:tc>
      </w:tr>
      <w:tr w14:paraId="61CB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422" w:type="dxa"/>
            <w:vMerge w:val="continue"/>
            <w:noWrap w:val="0"/>
            <w:vAlign w:val="center"/>
          </w:tcPr>
          <w:p w14:paraId="3475B4C4">
            <w:pPr>
              <w:spacing w:line="360" w:lineRule="auto"/>
              <w:jc w:val="center"/>
              <w:rPr>
                <w:rFonts w:hint="eastAsia" w:ascii="宋体" w:hAnsi="宋体"/>
                <w:color w:val="auto"/>
                <w:sz w:val="22"/>
                <w:highlight w:val="none"/>
              </w:rPr>
            </w:pPr>
          </w:p>
        </w:tc>
        <w:tc>
          <w:tcPr>
            <w:tcW w:w="7217" w:type="dxa"/>
            <w:noWrap w:val="0"/>
            <w:vAlign w:val="center"/>
          </w:tcPr>
          <w:p w14:paraId="08B62930">
            <w:pPr>
              <w:spacing w:line="360" w:lineRule="auto"/>
              <w:jc w:val="left"/>
              <w:rPr>
                <w:rFonts w:hint="eastAsia" w:ascii="宋体" w:hAnsi="宋体"/>
                <w:color w:val="auto"/>
                <w:sz w:val="22"/>
                <w:highlight w:val="none"/>
              </w:rPr>
            </w:pPr>
            <w:r>
              <w:rPr>
                <w:rFonts w:hint="eastAsia" w:ascii="宋体" w:hAnsi="宋体" w:cs="宋体"/>
                <w:szCs w:val="24"/>
                <w:highlight w:val="none"/>
              </w:rPr>
              <w:t xml:space="preserve">大写：人民币                </w:t>
            </w:r>
          </w:p>
        </w:tc>
      </w:tr>
      <w:tr w14:paraId="236E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422" w:type="dxa"/>
            <w:noWrap w:val="0"/>
            <w:vAlign w:val="center"/>
          </w:tcPr>
          <w:p w14:paraId="2612E501">
            <w:pPr>
              <w:spacing w:line="360" w:lineRule="auto"/>
              <w:jc w:val="center"/>
              <w:rPr>
                <w:rFonts w:ascii="宋体" w:hAnsi="宋体"/>
                <w:color w:val="auto"/>
                <w:sz w:val="22"/>
                <w:highlight w:val="none"/>
              </w:rPr>
            </w:pPr>
            <w:r>
              <w:rPr>
                <w:rFonts w:hint="eastAsia" w:ascii="宋体" w:hAnsi="宋体" w:eastAsia="宋体" w:cs="宋体"/>
                <w:szCs w:val="24"/>
                <w:highlight w:val="none"/>
                <w:lang w:val="en-US" w:eastAsia="zh-CN"/>
              </w:rPr>
              <w:t>备注</w:t>
            </w:r>
          </w:p>
        </w:tc>
        <w:tc>
          <w:tcPr>
            <w:tcW w:w="7217" w:type="dxa"/>
            <w:noWrap w:val="0"/>
            <w:vAlign w:val="center"/>
          </w:tcPr>
          <w:p w14:paraId="237C24E9">
            <w:pPr>
              <w:spacing w:line="288" w:lineRule="auto"/>
              <w:ind w:left="360" w:hanging="360" w:hangingChars="150"/>
              <w:jc w:val="left"/>
              <w:rPr>
                <w:color w:val="auto"/>
                <w:highlight w:val="none"/>
              </w:rPr>
            </w:pPr>
          </w:p>
        </w:tc>
      </w:tr>
    </w:tbl>
    <w:p w14:paraId="611DC731">
      <w:pPr>
        <w:tabs>
          <w:tab w:val="left" w:pos="720"/>
        </w:tabs>
        <w:snapToGrid w:val="0"/>
        <w:ind w:left="540" w:hanging="540" w:hangingChars="300"/>
        <w:rPr>
          <w:color w:val="auto"/>
          <w:sz w:val="18"/>
          <w:szCs w:val="18"/>
          <w:highlight w:val="none"/>
        </w:rPr>
      </w:pPr>
    </w:p>
    <w:p w14:paraId="52676A19">
      <w:pPr>
        <w:spacing w:line="312" w:lineRule="auto"/>
        <w:rPr>
          <w:rFonts w:hint="eastAsia" w:ascii="宋体" w:hAnsi="宋体"/>
          <w:b/>
          <w:color w:val="auto"/>
          <w:sz w:val="24"/>
          <w:szCs w:val="24"/>
          <w:highlight w:val="none"/>
          <w:u w:val="double"/>
        </w:rPr>
      </w:pPr>
      <w:r>
        <w:rPr>
          <w:rFonts w:hint="eastAsia" w:ascii="宋体" w:hAnsi="宋体"/>
          <w:b/>
          <w:color w:val="auto"/>
          <w:sz w:val="24"/>
          <w:szCs w:val="24"/>
          <w:highlight w:val="none"/>
          <w:u w:val="double"/>
        </w:rPr>
        <w:t>填表说明及要求：</w:t>
      </w:r>
    </w:p>
    <w:p w14:paraId="6B454E4E">
      <w:pPr>
        <w:tabs>
          <w:tab w:val="left" w:pos="6946"/>
        </w:tabs>
        <w:spacing w:line="360" w:lineRule="auto"/>
        <w:ind w:firstLine="480" w:firstLineChars="200"/>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1.</w:t>
      </w:r>
      <w:r>
        <w:rPr>
          <w:rFonts w:hint="eastAsia" w:ascii="宋体" w:hAnsi="宋体" w:eastAsia="宋体" w:cs="Times New Roman"/>
          <w:color w:val="auto"/>
          <w:szCs w:val="24"/>
          <w:highlight w:val="none"/>
          <w:lang w:val="en-US" w:eastAsia="zh-CN"/>
        </w:rPr>
        <w:t>供应商</w:t>
      </w:r>
      <w:r>
        <w:rPr>
          <w:rFonts w:hint="eastAsia" w:ascii="宋体" w:hAnsi="宋体" w:eastAsia="宋体" w:cs="Times New Roman"/>
          <w:color w:val="auto"/>
          <w:szCs w:val="24"/>
          <w:highlight w:val="none"/>
          <w:lang w:val="en-GB" w:eastAsia="zh-CN"/>
        </w:rPr>
        <w:t>的投标报价不得超过最高投标限价，否则视为无效投标。报价以“元”为单位，精确到小数点后两位，第三位小数四舍五入。</w:t>
      </w:r>
    </w:p>
    <w:p w14:paraId="0FC29ED4">
      <w:pPr>
        <w:tabs>
          <w:tab w:val="left" w:pos="6946"/>
        </w:tabs>
        <w:spacing w:line="360" w:lineRule="auto"/>
        <w:ind w:firstLine="480" w:firstLineChars="200"/>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2.报价中必须包含保安员基本工资、补贴费用等国家规定的相关福利和补贴、社会劳动保险、考核奖励金、从事保安工作必备的统一服装、器械装备等、</w:t>
      </w:r>
      <w:r>
        <w:rPr>
          <w:rFonts w:hint="eastAsia" w:ascii="宋体" w:hAnsi="宋体" w:eastAsia="宋体" w:cs="Times New Roman"/>
          <w:color w:val="auto"/>
          <w:szCs w:val="24"/>
          <w:highlight w:val="none"/>
          <w:lang w:val="en-US" w:eastAsia="zh-CN"/>
        </w:rPr>
        <w:t>成交供应商</w:t>
      </w:r>
      <w:r>
        <w:rPr>
          <w:rFonts w:hint="eastAsia" w:ascii="宋体" w:hAnsi="宋体" w:eastAsia="宋体" w:cs="Times New Roman"/>
          <w:color w:val="auto"/>
          <w:szCs w:val="24"/>
          <w:highlight w:val="none"/>
          <w:lang w:val="en-GB" w:eastAsia="zh-CN"/>
        </w:rPr>
        <w:t>的运营费用以及合同实施过程中的应预见和不可预见费用等;:</w:t>
      </w:r>
    </w:p>
    <w:p w14:paraId="64B5A02B">
      <w:pPr>
        <w:tabs>
          <w:tab w:val="left" w:pos="6946"/>
        </w:tabs>
        <w:spacing w:line="360" w:lineRule="auto"/>
        <w:ind w:firstLine="480" w:firstLineChars="200"/>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3.除基本工资外有关补贴包括非工作日和工作日晚餐餐费;节假日(以国务院公布为准)补贴费等国家规定的相关福利和补贴;但不包括法定节假日加班费、超时加班费;</w:t>
      </w:r>
    </w:p>
    <w:p w14:paraId="5524ECBB">
      <w:pPr>
        <w:tabs>
          <w:tab w:val="left" w:pos="6946"/>
        </w:tabs>
        <w:spacing w:line="360" w:lineRule="auto"/>
        <w:ind w:firstLine="480" w:firstLineChars="200"/>
        <w:rPr>
          <w:rFonts w:hint="eastAsia" w:ascii="宋体" w:hAnsi="宋体" w:eastAsia="宋体" w:cs="Times New Roman"/>
          <w:color w:val="auto"/>
          <w:szCs w:val="24"/>
          <w:highlight w:val="none"/>
          <w:lang w:val="en-GB" w:eastAsia="zh-CN"/>
        </w:rPr>
      </w:pPr>
      <w:r>
        <w:rPr>
          <w:rFonts w:hint="eastAsia" w:ascii="宋体" w:hAnsi="宋体" w:eastAsia="宋体" w:cs="Times New Roman"/>
          <w:color w:val="auto"/>
          <w:szCs w:val="24"/>
          <w:highlight w:val="none"/>
          <w:lang w:val="en-GB" w:eastAsia="zh-CN"/>
        </w:rPr>
        <w:t>4.本表内容不得擅自修改。</w:t>
      </w:r>
    </w:p>
    <w:p w14:paraId="51D3F90D">
      <w:pPr>
        <w:tabs>
          <w:tab w:val="left" w:pos="540"/>
        </w:tabs>
        <w:snapToGrid w:val="0"/>
        <w:spacing w:line="288" w:lineRule="auto"/>
        <w:rPr>
          <w:rFonts w:ascii="宋体" w:hAnsi="宋体"/>
          <w:b/>
          <w:color w:val="auto"/>
          <w:sz w:val="21"/>
          <w:szCs w:val="21"/>
          <w:highlight w:val="none"/>
          <w:lang w:val="en-GB"/>
        </w:rPr>
      </w:pPr>
    </w:p>
    <w:p w14:paraId="3F915509">
      <w:pPr>
        <w:tabs>
          <w:tab w:val="left" w:pos="-3780"/>
        </w:tabs>
        <w:spacing w:line="360" w:lineRule="auto"/>
        <w:rPr>
          <w:color w:val="auto"/>
          <w:highlight w:val="none"/>
        </w:rPr>
      </w:pPr>
      <w:r>
        <w:rPr>
          <w:color w:val="auto"/>
          <w:highlight w:val="none"/>
        </w:rPr>
        <w:t>供应商：</w:t>
      </w:r>
      <w:r>
        <w:rPr>
          <w:color w:val="auto"/>
          <w:highlight w:val="none"/>
          <w:u w:val="single"/>
        </w:rPr>
        <w:t xml:space="preserve">         （公司名称）          </w:t>
      </w:r>
      <w:r>
        <w:rPr>
          <w:color w:val="auto"/>
          <w:highlight w:val="none"/>
        </w:rPr>
        <w:t>（盖公章）</w:t>
      </w:r>
    </w:p>
    <w:p w14:paraId="4515564B">
      <w:pPr>
        <w:tabs>
          <w:tab w:val="left" w:pos="-3780"/>
        </w:tabs>
        <w:spacing w:line="360" w:lineRule="auto"/>
        <w:rPr>
          <w:color w:val="auto"/>
          <w:highlight w:val="none"/>
          <w:u w:val="single"/>
        </w:rPr>
      </w:pPr>
      <w:r>
        <w:rPr>
          <w:color w:val="auto"/>
          <w:highlight w:val="none"/>
        </w:rPr>
        <w:t>法定代表人（或全权代表）：</w:t>
      </w:r>
      <w:r>
        <w:rPr>
          <w:color w:val="auto"/>
          <w:highlight w:val="none"/>
          <w:u w:val="single"/>
        </w:rPr>
        <w:t xml:space="preserve">    （签名或签章）  </w:t>
      </w:r>
    </w:p>
    <w:p w14:paraId="34C5EB87">
      <w:pPr>
        <w:spacing w:line="360" w:lineRule="auto"/>
        <w:rPr>
          <w:color w:val="auto"/>
          <w:highlight w:val="none"/>
        </w:rPr>
      </w:pPr>
      <w:r>
        <w:rPr>
          <w:color w:val="auto"/>
          <w:highlight w:val="none"/>
        </w:rPr>
        <w:t>日期：</w:t>
      </w:r>
      <w:r>
        <w:rPr>
          <w:rFonts w:hint="eastAsia"/>
          <w:color w:val="auto"/>
          <w:highlight w:val="none"/>
        </w:rPr>
        <w:t xml:space="preserve">    </w:t>
      </w:r>
      <w:r>
        <w:rPr>
          <w:color w:val="auto"/>
          <w:highlight w:val="none"/>
        </w:rPr>
        <w:t>年    月    日</w:t>
      </w:r>
    </w:p>
    <w:p w14:paraId="2A558326">
      <w:pPr>
        <w:rPr>
          <w:rFonts w:ascii="宋体" w:hAnsi="宋体"/>
          <w:color w:val="auto"/>
          <w:highlight w:val="none"/>
        </w:rPr>
      </w:pPr>
    </w:p>
    <w:p w14:paraId="60DA96F5">
      <w:pPr>
        <w:spacing w:line="360" w:lineRule="auto"/>
        <w:jc w:val="both"/>
        <w:rPr>
          <w:rFonts w:hint="eastAsia"/>
          <w:b/>
          <w:bCs/>
          <w:color w:val="auto"/>
          <w:sz w:val="32"/>
          <w:highlight w:val="none"/>
        </w:rPr>
      </w:pPr>
      <w:r>
        <w:rPr>
          <w:rFonts w:ascii="宋体" w:hAnsi="宋体"/>
          <w:color w:val="auto"/>
          <w:highlight w:val="none"/>
        </w:rPr>
        <w:br w:type="page"/>
      </w:r>
      <w:bookmarkStart w:id="127" w:name="_Toc11175"/>
    </w:p>
    <w:p w14:paraId="65DFBFA0">
      <w:pPr>
        <w:pStyle w:val="4"/>
        <w:spacing w:after="156" w:afterLines="50"/>
        <w:jc w:val="center"/>
        <w:rPr>
          <w:sz w:val="32"/>
          <w:highlight w:val="none"/>
        </w:rPr>
      </w:pPr>
      <w:r>
        <w:rPr>
          <w:rFonts w:hint="eastAsia"/>
          <w:sz w:val="32"/>
          <w:highlight w:val="none"/>
        </w:rPr>
        <w:t>6.2 分项报价表</w:t>
      </w:r>
    </w:p>
    <w:p w14:paraId="3C35CEC6">
      <w:pPr>
        <w:spacing w:line="360" w:lineRule="auto"/>
        <w:jc w:val="center"/>
        <w:rPr>
          <w:b/>
          <w:bCs/>
          <w:sz w:val="32"/>
          <w:szCs w:val="32"/>
          <w:highlight w:val="none"/>
        </w:rPr>
      </w:pPr>
      <w:r>
        <w:rPr>
          <w:rFonts w:hint="eastAsia" w:ascii="宋体" w:hAnsi="宋体"/>
          <w:highlight w:val="none"/>
          <w:lang w:val="en-US" w:eastAsia="zh-CN"/>
        </w:rPr>
        <w:t>格式自拟</w:t>
      </w:r>
      <w:r>
        <w:rPr>
          <w:rFonts w:ascii="宋体" w:hAnsi="宋体"/>
          <w:highlight w:val="none"/>
        </w:rPr>
        <w:br w:type="page"/>
      </w:r>
      <w:r>
        <w:rPr>
          <w:rFonts w:hint="eastAsia"/>
          <w:b/>
          <w:bCs/>
          <w:color w:val="auto"/>
          <w:sz w:val="32"/>
          <w:szCs w:val="32"/>
          <w:highlight w:val="none"/>
        </w:rPr>
        <w:t xml:space="preserve">6.3 </w:t>
      </w:r>
      <w:r>
        <w:rPr>
          <w:rFonts w:hint="eastAsia" w:ascii="宋体" w:hAnsi="宋体" w:cs="宋体"/>
          <w:b/>
          <w:bCs/>
          <w:sz w:val="32"/>
          <w:szCs w:val="32"/>
          <w:highlight w:val="none"/>
        </w:rPr>
        <w:t>中小企业</w:t>
      </w:r>
      <w:r>
        <w:rPr>
          <w:rFonts w:hint="eastAsia"/>
          <w:b/>
          <w:bCs/>
          <w:sz w:val="32"/>
          <w:szCs w:val="32"/>
          <w:highlight w:val="none"/>
        </w:rPr>
        <w:t>声明函（工程、服务）（如有）</w:t>
      </w:r>
    </w:p>
    <w:p w14:paraId="6721BCA0">
      <w:pPr>
        <w:spacing w:line="360" w:lineRule="auto"/>
        <w:ind w:firstLine="480"/>
        <w:jc w:val="left"/>
        <w:rPr>
          <w:rFonts w:ascii="宋体" w:hAnsi="宋体" w:cs="宋体"/>
          <w:szCs w:val="24"/>
          <w:highlight w:val="none"/>
        </w:rPr>
      </w:pPr>
      <w:r>
        <w:rPr>
          <w:rFonts w:ascii="宋体" w:hAnsi="宋体" w:cs="宋体"/>
          <w:szCs w:val="24"/>
          <w:highlight w:val="none"/>
        </w:rPr>
        <w:t>本公司（联合体）郑重声明，根据《政府采购促进中小企业发展管理办法》（财库﹝2020﹞46号）的规定，本公司 （联合体）参加（单位名称）的（项目名称）采购活动，工 程的施工单位全部为符合政策要求的中小企业（或者：服务全部由符合政策要求的中小企业承接）。相关企业（含联合体中的中小企业、签订分包意向协议的中小企业）的具体情 况如下：</w:t>
      </w:r>
    </w:p>
    <w:p w14:paraId="3A067EA7">
      <w:pPr>
        <w:spacing w:line="360" w:lineRule="auto"/>
        <w:ind w:firstLine="480"/>
        <w:jc w:val="left"/>
        <w:rPr>
          <w:rFonts w:ascii="宋体" w:hAnsi="宋体" w:cs="宋体"/>
          <w:szCs w:val="24"/>
          <w:highlight w:val="none"/>
        </w:rPr>
      </w:pPr>
      <w:r>
        <w:rPr>
          <w:rFonts w:ascii="宋体" w:hAnsi="宋体" w:cs="宋体"/>
          <w:szCs w:val="24"/>
          <w:highlight w:val="none"/>
        </w:rPr>
        <w:t>1.</w:t>
      </w:r>
      <w:r>
        <w:rPr>
          <w:rFonts w:ascii="宋体" w:hAnsi="宋体" w:cs="宋体"/>
          <w:szCs w:val="24"/>
          <w:highlight w:val="none"/>
          <w:u w:val="single"/>
        </w:rPr>
        <w:t xml:space="preserve"> （标的名称） </w:t>
      </w:r>
      <w:r>
        <w:rPr>
          <w:rFonts w:ascii="宋体" w:hAnsi="宋体" w:cs="宋体"/>
          <w:szCs w:val="24"/>
          <w:highlight w:val="none"/>
        </w:rPr>
        <w:t>，属于</w:t>
      </w:r>
      <w:r>
        <w:rPr>
          <w:rFonts w:ascii="宋体" w:hAnsi="宋体" w:cs="宋体"/>
          <w:szCs w:val="24"/>
          <w:highlight w:val="none"/>
          <w:u w:val="single"/>
        </w:rPr>
        <w:t>（采购文件中明确的所属行业）</w:t>
      </w:r>
      <w:r>
        <w:rPr>
          <w:rFonts w:ascii="宋体" w:hAnsi="宋体" w:cs="宋体"/>
          <w:szCs w:val="24"/>
          <w:highlight w:val="none"/>
        </w:rPr>
        <w:t>； 承建（承接）企业为（企业名称），从业人员</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人，营业收入为</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万元，资产总额为</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万元，属于（中型企业、小型企业、微型企业）；</w:t>
      </w:r>
    </w:p>
    <w:p w14:paraId="67B1F6BD">
      <w:pPr>
        <w:spacing w:line="360" w:lineRule="auto"/>
        <w:ind w:firstLine="480"/>
        <w:jc w:val="left"/>
        <w:rPr>
          <w:rFonts w:ascii="宋体" w:hAnsi="宋体" w:cs="宋体"/>
          <w:szCs w:val="24"/>
          <w:highlight w:val="none"/>
        </w:rPr>
      </w:pPr>
      <w:r>
        <w:rPr>
          <w:rFonts w:ascii="宋体" w:hAnsi="宋体" w:cs="宋体"/>
          <w:szCs w:val="24"/>
          <w:highlight w:val="none"/>
        </w:rPr>
        <w:t>2.</w:t>
      </w:r>
      <w:r>
        <w:rPr>
          <w:rFonts w:ascii="宋体" w:hAnsi="宋体" w:cs="宋体"/>
          <w:szCs w:val="24"/>
          <w:highlight w:val="none"/>
          <w:u w:val="single"/>
        </w:rPr>
        <w:t xml:space="preserve"> （标的名称） </w:t>
      </w:r>
      <w:r>
        <w:rPr>
          <w:rFonts w:ascii="宋体" w:hAnsi="宋体" w:cs="宋体"/>
          <w:szCs w:val="24"/>
          <w:highlight w:val="none"/>
        </w:rPr>
        <w:t>，属于</w:t>
      </w:r>
      <w:r>
        <w:rPr>
          <w:rFonts w:ascii="宋体" w:hAnsi="宋体" w:cs="宋体"/>
          <w:szCs w:val="24"/>
          <w:highlight w:val="none"/>
          <w:u w:val="single"/>
        </w:rPr>
        <w:t>（采购文件中明确的所属行业）</w:t>
      </w:r>
      <w:r>
        <w:rPr>
          <w:rFonts w:ascii="宋体" w:hAnsi="宋体" w:cs="宋体"/>
          <w:szCs w:val="24"/>
          <w:highlight w:val="none"/>
        </w:rPr>
        <w:t>； 承建（承接）企业为（企业名称），从业人员</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人，营业收入为</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万元，资产总额为</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ascii="宋体" w:hAnsi="宋体" w:cs="宋体"/>
          <w:szCs w:val="24"/>
          <w:highlight w:val="none"/>
        </w:rPr>
        <w:t>万元，属于（中型企业、小型企业、微型企业）；</w:t>
      </w:r>
    </w:p>
    <w:p w14:paraId="72F79359">
      <w:pPr>
        <w:spacing w:line="360" w:lineRule="auto"/>
        <w:ind w:firstLine="480"/>
        <w:jc w:val="left"/>
        <w:rPr>
          <w:rFonts w:ascii="宋体" w:hAnsi="宋体" w:cs="宋体"/>
          <w:szCs w:val="24"/>
          <w:highlight w:val="none"/>
        </w:rPr>
      </w:pPr>
      <w:r>
        <w:rPr>
          <w:rFonts w:ascii="宋体" w:hAnsi="宋体" w:cs="宋体"/>
          <w:szCs w:val="24"/>
          <w:highlight w:val="none"/>
        </w:rPr>
        <w:t xml:space="preserve"> …… </w:t>
      </w:r>
    </w:p>
    <w:p w14:paraId="71C14BC7">
      <w:pPr>
        <w:spacing w:line="360" w:lineRule="auto"/>
        <w:ind w:firstLine="480"/>
        <w:jc w:val="left"/>
        <w:rPr>
          <w:rFonts w:ascii="宋体" w:hAnsi="宋体" w:cs="宋体"/>
          <w:szCs w:val="24"/>
          <w:highlight w:val="none"/>
        </w:rPr>
      </w:pPr>
      <w:r>
        <w:rPr>
          <w:rFonts w:ascii="宋体" w:hAnsi="宋体" w:cs="宋体"/>
          <w:szCs w:val="24"/>
          <w:highlight w:val="none"/>
        </w:rPr>
        <w:t>以上企业，不属于大企业的分支机构，不存在控股股东 为大企业的情形，也不存在与大企业的负责人为同一人的情 形。</w:t>
      </w:r>
    </w:p>
    <w:p w14:paraId="7D2F85B5">
      <w:pPr>
        <w:spacing w:line="360" w:lineRule="auto"/>
        <w:ind w:firstLine="480"/>
        <w:jc w:val="left"/>
        <w:rPr>
          <w:rFonts w:ascii="宋体" w:hAnsi="宋体" w:cs="宋体"/>
          <w:szCs w:val="24"/>
          <w:highlight w:val="none"/>
        </w:rPr>
      </w:pPr>
      <w:r>
        <w:rPr>
          <w:rFonts w:ascii="宋体" w:hAnsi="宋体" w:cs="宋体"/>
          <w:szCs w:val="24"/>
          <w:highlight w:val="none"/>
        </w:rPr>
        <w:t>本企业对上述声明内容的真实性负责。如有虚假，将依法承担相应责任。</w:t>
      </w:r>
    </w:p>
    <w:p w14:paraId="169F5AEB">
      <w:pPr>
        <w:spacing w:line="360" w:lineRule="auto"/>
        <w:ind w:firstLine="480"/>
        <w:jc w:val="right"/>
        <w:rPr>
          <w:rFonts w:ascii="宋体" w:hAnsi="宋体" w:cs="宋体"/>
          <w:szCs w:val="24"/>
          <w:highlight w:val="none"/>
        </w:rPr>
      </w:pPr>
      <w:r>
        <w:rPr>
          <w:rFonts w:ascii="宋体" w:hAnsi="宋体" w:cs="宋体"/>
          <w:szCs w:val="24"/>
          <w:highlight w:val="none"/>
        </w:rPr>
        <w:t>企业名称（盖章）：</w:t>
      </w:r>
    </w:p>
    <w:p w14:paraId="0F1F62F7">
      <w:pPr>
        <w:spacing w:line="360" w:lineRule="auto"/>
        <w:ind w:firstLine="480"/>
        <w:jc w:val="right"/>
        <w:rPr>
          <w:highlight w:val="none"/>
        </w:rPr>
      </w:pPr>
      <w:r>
        <w:rPr>
          <w:rFonts w:ascii="宋体" w:hAnsi="宋体" w:cs="宋体"/>
          <w:szCs w:val="24"/>
          <w:highlight w:val="none"/>
        </w:rPr>
        <w:t>日 期：</w:t>
      </w:r>
    </w:p>
    <w:p w14:paraId="1179D718">
      <w:pPr>
        <w:spacing w:line="360" w:lineRule="auto"/>
        <w:ind w:firstLine="480"/>
        <w:rPr>
          <w:rFonts w:ascii="宋体" w:hAnsi="宋体" w:cs="宋体"/>
          <w:sz w:val="18"/>
          <w:szCs w:val="18"/>
          <w:highlight w:val="none"/>
        </w:rPr>
      </w:pPr>
    </w:p>
    <w:p w14:paraId="018F3F4F">
      <w:pPr>
        <w:widowControl w:val="0"/>
        <w:spacing w:after="120" w:line="304" w:lineRule="auto"/>
        <w:ind w:right="375"/>
        <w:jc w:val="both"/>
        <w:rPr>
          <w:rFonts w:hint="eastAsia" w:ascii="宋体" w:hAnsi="宋体" w:eastAsia="宋体" w:cs="Times New Roman"/>
          <w:b/>
          <w:kern w:val="2"/>
          <w:sz w:val="22"/>
          <w:szCs w:val="22"/>
          <w:highlight w:val="none"/>
          <w:lang w:val="en-US" w:eastAsia="zh-CN" w:bidi="ar-SA"/>
        </w:rPr>
      </w:pPr>
      <w:r>
        <w:rPr>
          <w:rFonts w:hint="eastAsia" w:ascii="宋体" w:hAnsi="宋体" w:eastAsia="宋体" w:cs="Times New Roman"/>
          <w:b/>
          <w:kern w:val="2"/>
          <w:sz w:val="22"/>
          <w:szCs w:val="22"/>
          <w:highlight w:val="none"/>
          <w:lang w:val="en-US" w:eastAsia="zh-CN" w:bidi="ar-SA"/>
        </w:rPr>
        <w:t>备注：</w:t>
      </w:r>
    </w:p>
    <w:p w14:paraId="2C84F27C">
      <w:pPr>
        <w:pStyle w:val="28"/>
        <w:outlineLvl w:val="1"/>
        <w:rPr>
          <w:rFonts w:hint="eastAsia" w:ascii="宋体" w:hAnsi="宋体" w:eastAsia="宋体"/>
          <w:kern w:val="2"/>
          <w:sz w:val="22"/>
          <w:szCs w:val="22"/>
          <w:highlight w:val="none"/>
        </w:rPr>
      </w:pPr>
      <w:r>
        <w:rPr>
          <w:rFonts w:hint="eastAsia" w:ascii="宋体" w:hAnsi="宋体" w:eastAsia="宋体"/>
          <w:kern w:val="2"/>
          <w:sz w:val="22"/>
          <w:szCs w:val="22"/>
          <w:highlight w:val="none"/>
        </w:rPr>
        <w:t>1.从业人员、营业收入、资产总额填报上一年度数据，无上一年度数据的新成立企业可不填报；</w:t>
      </w:r>
    </w:p>
    <w:p w14:paraId="218AC433">
      <w:pPr>
        <w:pStyle w:val="28"/>
        <w:outlineLvl w:val="1"/>
        <w:rPr>
          <w:rFonts w:hint="eastAsia" w:ascii="宋体" w:hAnsi="宋体" w:eastAsia="宋体"/>
          <w:kern w:val="2"/>
          <w:sz w:val="22"/>
          <w:szCs w:val="22"/>
          <w:highlight w:val="none"/>
        </w:rPr>
      </w:pPr>
      <w:r>
        <w:rPr>
          <w:rFonts w:hint="eastAsia" w:ascii="宋体" w:hAnsi="宋体" w:eastAsia="宋体"/>
          <w:kern w:val="2"/>
          <w:sz w:val="22"/>
          <w:szCs w:val="22"/>
          <w:highlight w:val="none"/>
        </w:rPr>
        <w:t>2.中小企业划分标准：《中小企业划型标准规定》（工信部联企业〔2011〕300 号）。</w:t>
      </w:r>
    </w:p>
    <w:p w14:paraId="64CAB80C">
      <w:pPr>
        <w:spacing w:line="360" w:lineRule="auto"/>
        <w:rPr>
          <w:rFonts w:hint="eastAsia" w:ascii="宋体" w:hAnsi="宋体"/>
          <w:b/>
          <w:sz w:val="22"/>
          <w:highlight w:val="none"/>
        </w:rPr>
      </w:pPr>
      <w:r>
        <w:rPr>
          <w:rFonts w:hint="eastAsia" w:ascii="宋体" w:hAnsi="宋体"/>
          <w:b/>
          <w:sz w:val="22"/>
          <w:highlight w:val="none"/>
        </w:rPr>
        <w:t>3.本项目标的按照《中小企业划型标准规定》(工信部联企业[2011]300 号)划分行业为：</w:t>
      </w:r>
    </w:p>
    <w:p w14:paraId="090265A3">
      <w:pPr>
        <w:spacing w:line="360" w:lineRule="auto"/>
        <w:rPr>
          <w:rFonts w:hint="eastAsia" w:ascii="宋体" w:hAnsi="宋体"/>
          <w:b/>
          <w:sz w:val="22"/>
          <w:highlight w:val="none"/>
        </w:rPr>
      </w:pPr>
      <w:r>
        <w:rPr>
          <w:rFonts w:hint="eastAsia" w:ascii="宋体" w:hAnsi="宋体"/>
          <w:b/>
          <w:sz w:val="22"/>
          <w:highlight w:val="none"/>
        </w:rPr>
        <w:t>其他未列明行业。</w:t>
      </w:r>
    </w:p>
    <w:p w14:paraId="2451995E">
      <w:pPr>
        <w:spacing w:line="360" w:lineRule="auto"/>
        <w:rPr>
          <w:rFonts w:hint="eastAsia" w:ascii="宋体" w:hAnsi="宋体"/>
          <w:b/>
          <w:sz w:val="22"/>
          <w:highlight w:val="none"/>
        </w:rPr>
      </w:pPr>
    </w:p>
    <w:p w14:paraId="25F52259">
      <w:pPr>
        <w:spacing w:line="360" w:lineRule="auto"/>
        <w:rPr>
          <w:rFonts w:hint="eastAsia" w:ascii="宋体" w:hAnsi="宋体"/>
          <w:b/>
          <w:sz w:val="22"/>
          <w:highlight w:val="none"/>
        </w:rPr>
      </w:pPr>
      <w:r>
        <w:rPr>
          <w:rFonts w:hint="eastAsia" w:ascii="宋体" w:hAnsi="宋体"/>
          <w:b/>
          <w:sz w:val="22"/>
          <w:highlight w:val="none"/>
        </w:rPr>
        <w:t>关于中小企业的说明：《政府采购促进中小企业发展管理办法》所述“第二条 本办法所称中小企业，是指在中华人民共和国 境内依法设立，依据国务院批准的中小企业划分标准确定的 中型企业、小型企业和微型企业，但与大企业的负责人为同一人，或者与大企业存在直接控股、管理关系的除外。 符合中小企业划分标准的个体工商户，在政府采购活动 中视同中小企业。</w:t>
      </w:r>
    </w:p>
    <w:bookmarkEnd w:id="127"/>
    <w:p w14:paraId="35678502">
      <w:pPr>
        <w:tabs>
          <w:tab w:val="left" w:pos="4860"/>
        </w:tabs>
        <w:wordWrap w:val="0"/>
        <w:spacing w:line="588" w:lineRule="exact"/>
        <w:ind w:right="1560" w:firstLine="504" w:firstLineChars="200"/>
        <w:jc w:val="right"/>
        <w:rPr>
          <w:rFonts w:ascii="宋体" w:hAnsi="宋体"/>
          <w:color w:val="auto"/>
          <w:spacing w:val="6"/>
          <w:szCs w:val="24"/>
          <w:highlight w:val="none"/>
          <w:u w:val="single"/>
        </w:rPr>
      </w:pPr>
    </w:p>
    <w:p w14:paraId="1AE08E7E">
      <w:pPr>
        <w:jc w:val="center"/>
        <w:outlineLvl w:val="2"/>
        <w:rPr>
          <w:sz w:val="32"/>
          <w:highlight w:val="none"/>
        </w:rPr>
      </w:pPr>
      <w:r>
        <w:rPr>
          <w:rFonts w:hint="eastAsia"/>
          <w:b/>
          <w:bCs/>
          <w:sz w:val="32"/>
          <w:szCs w:val="32"/>
          <w:highlight w:val="none"/>
        </w:rPr>
        <w:t>6.4 监狱企业证明文件（如有）</w:t>
      </w:r>
    </w:p>
    <w:p w14:paraId="31AD398D">
      <w:pPr>
        <w:rPr>
          <w:highlight w:val="none"/>
        </w:rPr>
      </w:pPr>
      <w:r>
        <w:rPr>
          <w:rFonts w:hint="eastAsia"/>
          <w:highlight w:val="none"/>
        </w:rPr>
        <w:t xml:space="preserve">    监狱企业参加采购活动时，应当提供由省级以上监狱管理局、戒毒管理局（含新疆生产建设兵团）出具的属于监狱企业的证明文件。</w:t>
      </w:r>
    </w:p>
    <w:p w14:paraId="0251BDFA">
      <w:pPr>
        <w:rPr>
          <w:rFonts w:ascii="宋体" w:hAnsi="宋体"/>
          <w:highlight w:val="none"/>
        </w:rPr>
      </w:pPr>
    </w:p>
    <w:p w14:paraId="2B4C0920">
      <w:pPr>
        <w:rPr>
          <w:rFonts w:ascii="宋体" w:hAnsi="宋体"/>
          <w:highlight w:val="none"/>
        </w:rPr>
      </w:pPr>
    </w:p>
    <w:p w14:paraId="76152575">
      <w:pPr>
        <w:jc w:val="center"/>
        <w:outlineLvl w:val="2"/>
        <w:rPr>
          <w:sz w:val="32"/>
          <w:highlight w:val="none"/>
        </w:rPr>
      </w:pPr>
      <w:r>
        <w:rPr>
          <w:rFonts w:hint="eastAsia"/>
          <w:b/>
          <w:bCs/>
          <w:sz w:val="32"/>
          <w:szCs w:val="32"/>
          <w:highlight w:val="none"/>
        </w:rPr>
        <w:t>6.5残疾人福利性单位声明函（如有）</w:t>
      </w:r>
    </w:p>
    <w:p w14:paraId="238EDB38">
      <w:pPr>
        <w:spacing w:line="588" w:lineRule="exact"/>
        <w:ind w:firstLine="504" w:firstLineChars="200"/>
        <w:rPr>
          <w:rFonts w:ascii="宋体" w:hAnsi="宋体"/>
          <w:spacing w:val="6"/>
          <w:szCs w:val="24"/>
          <w:highlight w:val="none"/>
        </w:rPr>
      </w:pPr>
      <w:r>
        <w:rPr>
          <w:rFonts w:hint="eastAsia" w:ascii="宋体" w:hAnsi="宋体"/>
          <w:spacing w:val="6"/>
          <w:szCs w:val="24"/>
          <w:highlight w:val="none"/>
        </w:rPr>
        <w:t>本单位郑重声明，根据《财政部 民政部 中国残疾人联合会关于促进残疾人就业政府采购政策的通知》（财库</w:t>
      </w:r>
      <w:r>
        <w:rPr>
          <w:rFonts w:hint="eastAsia" w:ascii="宋体" w:hAnsi="宋体"/>
          <w:szCs w:val="24"/>
          <w:highlight w:val="none"/>
        </w:rPr>
        <w:t>〔2017〕 141</w:t>
      </w:r>
      <w:r>
        <w:rPr>
          <w:rFonts w:hint="eastAsia" w:ascii="宋体" w:hAnsi="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77D02A">
      <w:pPr>
        <w:spacing w:line="588" w:lineRule="exact"/>
        <w:ind w:firstLine="504" w:firstLineChars="200"/>
        <w:rPr>
          <w:rFonts w:ascii="宋体" w:hAnsi="宋体"/>
          <w:spacing w:val="6"/>
          <w:szCs w:val="24"/>
          <w:highlight w:val="none"/>
        </w:rPr>
      </w:pPr>
      <w:r>
        <w:rPr>
          <w:rFonts w:hint="eastAsia" w:ascii="宋体" w:hAnsi="宋体"/>
          <w:spacing w:val="6"/>
          <w:szCs w:val="24"/>
          <w:highlight w:val="none"/>
        </w:rPr>
        <w:t>本单位对上述声明的真实性负责。如有虚假，将依法承担相应责任。</w:t>
      </w:r>
    </w:p>
    <w:p w14:paraId="2595A4FC">
      <w:pPr>
        <w:spacing w:line="588" w:lineRule="exact"/>
        <w:ind w:firstLine="504" w:firstLineChars="200"/>
        <w:rPr>
          <w:rFonts w:ascii="宋体" w:hAnsi="宋体"/>
          <w:spacing w:val="6"/>
          <w:szCs w:val="24"/>
          <w:highlight w:val="none"/>
        </w:rPr>
      </w:pPr>
    </w:p>
    <w:p w14:paraId="7FCAA2E8">
      <w:pPr>
        <w:spacing w:line="588" w:lineRule="exact"/>
        <w:ind w:firstLine="504" w:firstLineChars="200"/>
        <w:rPr>
          <w:rFonts w:ascii="宋体" w:hAnsi="宋体"/>
          <w:spacing w:val="6"/>
          <w:szCs w:val="24"/>
          <w:highlight w:val="none"/>
        </w:rPr>
      </w:pPr>
    </w:p>
    <w:p w14:paraId="5879431D">
      <w:pPr>
        <w:tabs>
          <w:tab w:val="left" w:pos="4860"/>
        </w:tabs>
        <w:wordWrap w:val="0"/>
        <w:spacing w:line="588" w:lineRule="exact"/>
        <w:ind w:right="1560" w:firstLine="504" w:firstLineChars="200"/>
        <w:jc w:val="right"/>
        <w:rPr>
          <w:rFonts w:ascii="宋体" w:hAnsi="宋体"/>
          <w:spacing w:val="6"/>
          <w:szCs w:val="24"/>
          <w:highlight w:val="none"/>
          <w:u w:val="single"/>
        </w:rPr>
      </w:pPr>
      <w:r>
        <w:rPr>
          <w:rFonts w:hint="eastAsia" w:ascii="宋体" w:hAnsi="宋体"/>
          <w:spacing w:val="6"/>
          <w:szCs w:val="24"/>
          <w:highlight w:val="none"/>
        </w:rPr>
        <w:t xml:space="preserve">   单位名称（盖章）：</w:t>
      </w:r>
      <w:r>
        <w:rPr>
          <w:rFonts w:hint="eastAsia" w:ascii="宋体" w:hAnsi="宋体"/>
          <w:spacing w:val="6"/>
          <w:szCs w:val="24"/>
          <w:highlight w:val="none"/>
          <w:u w:val="single"/>
        </w:rPr>
        <w:t xml:space="preserve">             </w:t>
      </w:r>
    </w:p>
    <w:p w14:paraId="52CDC557">
      <w:pPr>
        <w:tabs>
          <w:tab w:val="left" w:pos="4860"/>
        </w:tabs>
        <w:wordWrap w:val="0"/>
        <w:spacing w:line="588" w:lineRule="exact"/>
        <w:ind w:right="1560" w:firstLine="504" w:firstLineChars="200"/>
        <w:jc w:val="right"/>
        <w:rPr>
          <w:rFonts w:ascii="宋体" w:hAnsi="宋体"/>
          <w:spacing w:val="6"/>
          <w:szCs w:val="24"/>
          <w:highlight w:val="none"/>
          <w:u w:val="single"/>
        </w:rPr>
      </w:pPr>
      <w:r>
        <w:rPr>
          <w:rFonts w:hint="eastAsia" w:ascii="宋体" w:hAnsi="宋体"/>
          <w:spacing w:val="6"/>
          <w:szCs w:val="24"/>
          <w:highlight w:val="none"/>
        </w:rPr>
        <w:t>日期：</w:t>
      </w:r>
      <w:r>
        <w:rPr>
          <w:rFonts w:hint="eastAsia" w:ascii="宋体" w:hAnsi="宋体"/>
          <w:spacing w:val="6"/>
          <w:szCs w:val="24"/>
          <w:highlight w:val="none"/>
          <w:u w:val="single"/>
        </w:rPr>
        <w:t xml:space="preserve">             </w:t>
      </w:r>
    </w:p>
    <w:p w14:paraId="0252F045">
      <w:pPr>
        <w:spacing w:line="360" w:lineRule="auto"/>
        <w:rPr>
          <w:rFonts w:hint="eastAsia" w:ascii="宋体" w:hAnsi="宋体"/>
          <w:color w:val="auto"/>
          <w:highlight w:val="none"/>
        </w:rPr>
      </w:pPr>
    </w:p>
    <w:p w14:paraId="1FCFE8BE">
      <w:pPr>
        <w:rPr>
          <w:rFonts w:ascii="宋体" w:hAnsi="宋体"/>
          <w:color w:val="auto"/>
          <w:highlight w:val="none"/>
        </w:rPr>
      </w:pPr>
      <w:r>
        <w:rPr>
          <w:rFonts w:ascii="宋体" w:hAnsi="宋体"/>
          <w:color w:val="auto"/>
          <w:highlight w:val="none"/>
        </w:rPr>
        <w:br w:type="page"/>
      </w:r>
    </w:p>
    <w:p w14:paraId="6BF09AB2">
      <w:pPr>
        <w:rPr>
          <w:rFonts w:ascii="宋体" w:hAnsi="宋体"/>
          <w:color w:val="auto"/>
          <w:highlight w:val="none"/>
        </w:rPr>
      </w:pPr>
    </w:p>
    <w:p w14:paraId="05203824">
      <w:pPr>
        <w:rPr>
          <w:rFonts w:ascii="宋体" w:hAnsi="宋体"/>
          <w:color w:val="auto"/>
          <w:highlight w:val="none"/>
        </w:rPr>
      </w:pPr>
    </w:p>
    <w:p w14:paraId="2DD19A62">
      <w:pPr>
        <w:rPr>
          <w:rFonts w:ascii="宋体" w:hAnsi="宋体"/>
          <w:color w:val="auto"/>
          <w:highlight w:val="none"/>
        </w:rPr>
      </w:pPr>
    </w:p>
    <w:p w14:paraId="325DF181">
      <w:pPr>
        <w:rPr>
          <w:rFonts w:ascii="宋体" w:hAnsi="宋体"/>
          <w:color w:val="auto"/>
          <w:highlight w:val="none"/>
        </w:rPr>
      </w:pPr>
    </w:p>
    <w:p w14:paraId="208B168A">
      <w:pPr>
        <w:rPr>
          <w:rFonts w:ascii="宋体" w:hAnsi="宋体"/>
          <w:color w:val="auto"/>
          <w:highlight w:val="none"/>
        </w:rPr>
      </w:pPr>
    </w:p>
    <w:p w14:paraId="5D519EA4">
      <w:pPr>
        <w:rPr>
          <w:rFonts w:ascii="宋体" w:hAnsi="宋体"/>
          <w:color w:val="auto"/>
          <w:highlight w:val="none"/>
        </w:rPr>
      </w:pPr>
    </w:p>
    <w:p w14:paraId="40B45AEF">
      <w:pPr>
        <w:rPr>
          <w:rFonts w:ascii="宋体" w:hAnsi="宋体"/>
          <w:color w:val="auto"/>
          <w:highlight w:val="none"/>
        </w:rPr>
      </w:pPr>
    </w:p>
    <w:p w14:paraId="71A1D3D4">
      <w:pPr>
        <w:rPr>
          <w:rFonts w:ascii="宋体" w:hAnsi="宋体"/>
          <w:color w:val="auto"/>
          <w:highlight w:val="none"/>
        </w:rPr>
      </w:pPr>
    </w:p>
    <w:p w14:paraId="72C0EB38">
      <w:pPr>
        <w:rPr>
          <w:rFonts w:ascii="宋体" w:hAnsi="宋体"/>
          <w:color w:val="auto"/>
          <w:highlight w:val="none"/>
        </w:rPr>
      </w:pPr>
    </w:p>
    <w:p w14:paraId="4D4426B9">
      <w:pPr>
        <w:rPr>
          <w:rFonts w:ascii="宋体" w:hAnsi="宋体"/>
          <w:color w:val="auto"/>
          <w:highlight w:val="none"/>
        </w:rPr>
      </w:pPr>
    </w:p>
    <w:p w14:paraId="1D6D0E72">
      <w:pPr>
        <w:rPr>
          <w:rFonts w:ascii="宋体" w:hAnsi="宋体"/>
          <w:color w:val="auto"/>
          <w:highlight w:val="none"/>
        </w:rPr>
      </w:pPr>
    </w:p>
    <w:p w14:paraId="2C38BA98">
      <w:pPr>
        <w:rPr>
          <w:rFonts w:ascii="宋体" w:hAnsi="宋体"/>
          <w:color w:val="auto"/>
          <w:highlight w:val="none"/>
        </w:rPr>
      </w:pPr>
    </w:p>
    <w:p w14:paraId="3A802BDF">
      <w:pPr>
        <w:rPr>
          <w:rFonts w:ascii="宋体" w:hAnsi="宋体"/>
          <w:color w:val="auto"/>
          <w:highlight w:val="none"/>
        </w:rPr>
      </w:pPr>
    </w:p>
    <w:p w14:paraId="3E8AF215">
      <w:pPr>
        <w:rPr>
          <w:rFonts w:ascii="宋体" w:hAnsi="宋体"/>
          <w:color w:val="auto"/>
          <w:highlight w:val="none"/>
        </w:rPr>
      </w:pPr>
    </w:p>
    <w:p w14:paraId="079C5180">
      <w:pPr>
        <w:rPr>
          <w:rFonts w:hint="eastAsia" w:ascii="宋体" w:hAnsi="宋体"/>
          <w:color w:val="auto"/>
          <w:highlight w:val="none"/>
        </w:rPr>
      </w:pPr>
    </w:p>
    <w:p w14:paraId="7B55D798">
      <w:pPr>
        <w:keepNext/>
        <w:keepLines/>
        <w:widowControl w:val="0"/>
        <w:jc w:val="center"/>
        <w:outlineLvl w:val="1"/>
        <w:rPr>
          <w:rFonts w:ascii="Cambria" w:hAnsi="Cambria" w:eastAsia="宋体" w:cs="Times New Roman"/>
          <w:b/>
          <w:bCs/>
          <w:color w:val="auto"/>
          <w:kern w:val="2"/>
          <w:sz w:val="52"/>
          <w:szCs w:val="32"/>
          <w:highlight w:val="none"/>
          <w:lang w:val="en-US" w:eastAsia="zh-CN" w:bidi="ar-SA"/>
        </w:rPr>
      </w:pPr>
      <w:bookmarkStart w:id="128" w:name="_Toc9367"/>
      <w:r>
        <w:rPr>
          <w:rFonts w:hint="eastAsia" w:ascii="Cambria" w:hAnsi="Cambria" w:eastAsia="宋体" w:cs="Times New Roman"/>
          <w:b/>
          <w:bCs/>
          <w:color w:val="auto"/>
          <w:kern w:val="2"/>
          <w:sz w:val="52"/>
          <w:szCs w:val="32"/>
          <w:highlight w:val="none"/>
          <w:lang w:val="en-US" w:eastAsia="zh-CN" w:bidi="ar-SA"/>
        </w:rPr>
        <w:t>其 他 格 式</w:t>
      </w:r>
      <w:bookmarkEnd w:id="128"/>
    </w:p>
    <w:p w14:paraId="5757BEF4">
      <w:pPr>
        <w:jc w:val="center"/>
        <w:outlineLvl w:val="0"/>
        <w:rPr>
          <w:rFonts w:hint="eastAsia" w:ascii="宋体" w:hAnsi="宋体"/>
          <w:b/>
          <w:color w:val="auto"/>
          <w:sz w:val="32"/>
          <w:highlight w:val="none"/>
        </w:rPr>
      </w:pPr>
      <w:bookmarkStart w:id="129" w:name="_Toc27760"/>
      <w:r>
        <w:rPr>
          <w:rFonts w:hint="eastAsia" w:ascii="宋体" w:hAnsi="宋体"/>
          <w:b/>
          <w:color w:val="auto"/>
          <w:sz w:val="32"/>
          <w:highlight w:val="none"/>
        </w:rPr>
        <w:t>（注：本部分内容勿装订在响应文件内</w:t>
      </w:r>
      <w:r>
        <w:rPr>
          <w:rFonts w:ascii="宋体" w:hAnsi="宋体"/>
          <w:b/>
          <w:color w:val="auto"/>
          <w:sz w:val="32"/>
          <w:highlight w:val="none"/>
        </w:rPr>
        <w:t>）</w:t>
      </w:r>
      <w:bookmarkEnd w:id="129"/>
    </w:p>
    <w:p w14:paraId="720E990F">
      <w:pPr>
        <w:rPr>
          <w:rFonts w:ascii="宋体" w:hAnsi="宋体"/>
          <w:b/>
          <w:color w:val="auto"/>
          <w:highlight w:val="none"/>
        </w:rPr>
      </w:pPr>
    </w:p>
    <w:p w14:paraId="17FD9CBB">
      <w:pPr>
        <w:rPr>
          <w:rFonts w:hint="eastAsia" w:ascii="宋体" w:hAnsi="宋体" w:cs="宋体"/>
          <w:color w:val="auto"/>
          <w:kern w:val="1"/>
          <w:sz w:val="21"/>
          <w:szCs w:val="22"/>
          <w:highlight w:val="none"/>
        </w:rPr>
      </w:pPr>
      <w:bookmarkStart w:id="130" w:name="_Toc467076465"/>
      <w:bookmarkStart w:id="131" w:name="_Toc25474"/>
      <w:bookmarkStart w:id="132" w:name="_Toc453080320"/>
      <w:bookmarkStart w:id="133" w:name="_Toc467076369"/>
    </w:p>
    <w:p w14:paraId="7D219C9E">
      <w:pPr>
        <w:spacing w:line="360" w:lineRule="auto"/>
        <w:rPr>
          <w:rFonts w:ascii="宋体" w:hAnsi="宋体"/>
          <w:kern w:val="1"/>
        </w:rPr>
      </w:pPr>
    </w:p>
    <w:p w14:paraId="1B01618F">
      <w:pPr>
        <w:pStyle w:val="4"/>
        <w:pageBreakBefore/>
        <w:spacing w:after="120"/>
        <w:rPr>
          <w:rFonts w:ascii="宋体" w:hAnsi="宋体" w:cs="宋体"/>
          <w:kern w:val="1"/>
          <w:sz w:val="21"/>
          <w:szCs w:val="22"/>
        </w:rPr>
        <w:sectPr>
          <w:footerReference r:id="rId12" w:type="first"/>
          <w:headerReference r:id="rId10" w:type="default"/>
          <w:footerReference r:id="rId11" w:type="default"/>
          <w:pgSz w:w="11906" w:h="16838"/>
          <w:pgMar w:top="1247" w:right="1304" w:bottom="1247" w:left="1304" w:header="777" w:footer="714" w:gutter="0"/>
          <w:cols w:space="720" w:num="1"/>
          <w:titlePg/>
          <w:docGrid w:type="lines" w:linePitch="312" w:charSpace="0"/>
        </w:sectPr>
      </w:pPr>
    </w:p>
    <w:p w14:paraId="5F3DCA38">
      <w:pPr>
        <w:rPr>
          <w:rFonts w:ascii="黑体" w:hAnsi="黑体" w:eastAsia="黑体" w:cs="黑体"/>
          <w:color w:val="auto"/>
          <w:kern w:val="1"/>
          <w:sz w:val="36"/>
          <w:szCs w:val="36"/>
          <w:highlight w:val="none"/>
        </w:rPr>
      </w:pPr>
      <w:r>
        <w:rPr>
          <w:rFonts w:hint="eastAsia" w:ascii="宋体" w:hAnsi="宋体" w:cs="宋体"/>
          <w:b/>
          <w:color w:val="auto"/>
          <w:kern w:val="1"/>
          <w:sz w:val="21"/>
          <w:highlight w:val="none"/>
          <w:lang w:val="en-US" w:eastAsia="zh-CN"/>
        </w:rPr>
        <w:t>附件一：</w:t>
      </w:r>
      <w:r>
        <w:rPr>
          <w:rFonts w:ascii="宋体" w:hAnsi="宋体" w:cs="宋体"/>
          <w:b/>
          <w:color w:val="auto"/>
          <w:kern w:val="1"/>
          <w:sz w:val="21"/>
          <w:highlight w:val="none"/>
        </w:rPr>
        <w:t xml:space="preserve">                </w:t>
      </w:r>
      <w:r>
        <w:rPr>
          <w:rFonts w:hint="eastAsia" w:ascii="黑体" w:hAnsi="黑体" w:eastAsia="黑体" w:cs="黑体"/>
          <w:color w:val="auto"/>
          <w:kern w:val="1"/>
          <w:sz w:val="36"/>
          <w:szCs w:val="36"/>
          <w:highlight w:val="none"/>
        </w:rPr>
        <w:t>文件包装袋封面标贴格式</w:t>
      </w:r>
      <w:bookmarkEnd w:id="130"/>
      <w:bookmarkEnd w:id="131"/>
      <w:bookmarkEnd w:id="132"/>
      <w:bookmarkEnd w:id="133"/>
    </w:p>
    <w:tbl>
      <w:tblPr>
        <w:tblStyle w:val="15"/>
        <w:tblW w:w="0" w:type="auto"/>
        <w:tblInd w:w="108" w:type="dxa"/>
        <w:tblLayout w:type="fixed"/>
        <w:tblCellMar>
          <w:top w:w="0" w:type="dxa"/>
          <w:left w:w="108" w:type="dxa"/>
          <w:bottom w:w="0" w:type="dxa"/>
          <w:right w:w="108" w:type="dxa"/>
        </w:tblCellMar>
      </w:tblPr>
      <w:tblGrid>
        <w:gridCol w:w="9262"/>
      </w:tblGrid>
      <w:tr w14:paraId="1F34E2EC">
        <w:tblPrEx>
          <w:tblCellMar>
            <w:top w:w="0" w:type="dxa"/>
            <w:left w:w="108" w:type="dxa"/>
            <w:bottom w:w="0" w:type="dxa"/>
            <w:right w:w="108" w:type="dxa"/>
          </w:tblCellMar>
        </w:tblPrEx>
        <w:trPr>
          <w:trHeight w:val="8554" w:hRule="atLeast"/>
        </w:trPr>
        <w:tc>
          <w:tcPr>
            <w:tcW w:w="926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14:paraId="6536FD77">
            <w:pPr>
              <w:widowControl w:val="0"/>
              <w:spacing w:after="156" w:line="300" w:lineRule="auto"/>
              <w:jc w:val="center"/>
              <w:rPr>
                <w:rFonts w:ascii="黑体" w:hAnsi="黑体" w:eastAsia="黑体" w:cs="Calibri"/>
                <w:b/>
                <w:color w:val="auto"/>
                <w:kern w:val="2"/>
                <w:sz w:val="44"/>
                <w:szCs w:val="44"/>
                <w:highlight w:val="none"/>
                <w:lang w:val="en-US" w:eastAsia="zh-CN" w:bidi="ar-SA"/>
              </w:rPr>
            </w:pPr>
          </w:p>
          <w:p w14:paraId="0A7A440A">
            <w:pPr>
              <w:widowControl w:val="0"/>
              <w:spacing w:after="156" w:line="300" w:lineRule="auto"/>
              <w:jc w:val="center"/>
              <w:rPr>
                <w:rFonts w:hint="eastAsia" w:ascii="黑体" w:hAnsi="黑体" w:eastAsia="黑体" w:cs="Calibri"/>
                <w:b/>
                <w:color w:val="auto"/>
                <w:kern w:val="2"/>
                <w:sz w:val="44"/>
                <w:szCs w:val="44"/>
                <w:highlight w:val="none"/>
                <w:lang w:val="en-US" w:eastAsia="zh-CN" w:bidi="ar-SA"/>
              </w:rPr>
            </w:pPr>
            <w:r>
              <w:rPr>
                <w:rFonts w:hint="eastAsia" w:ascii="黑体" w:hAnsi="黑体" w:eastAsia="黑体" w:cs="Calibri"/>
                <w:b/>
                <w:color w:val="auto"/>
                <w:kern w:val="2"/>
                <w:sz w:val="44"/>
                <w:szCs w:val="44"/>
                <w:highlight w:val="none"/>
                <w:lang w:val="en-US" w:eastAsia="zh-CN" w:bidi="ar-SA"/>
              </w:rPr>
              <w:t>佛山市禅城区祖庙街道城建和水务办公室</w:t>
            </w:r>
          </w:p>
          <w:p w14:paraId="083414F9">
            <w:pPr>
              <w:widowControl w:val="0"/>
              <w:spacing w:after="156" w:line="300" w:lineRule="auto"/>
              <w:jc w:val="center"/>
              <w:rPr>
                <w:rFonts w:ascii="黑体" w:hAnsi="黑体" w:eastAsia="黑体" w:cs="Calibri"/>
                <w:b/>
                <w:color w:val="auto"/>
                <w:kern w:val="2"/>
                <w:sz w:val="44"/>
                <w:szCs w:val="44"/>
                <w:highlight w:val="none"/>
                <w:lang w:val="en-US" w:eastAsia="zh-CN" w:bidi="ar-SA"/>
              </w:rPr>
            </w:pPr>
            <w:r>
              <w:rPr>
                <w:rFonts w:hint="eastAsia" w:ascii="黑体" w:hAnsi="黑体" w:eastAsia="黑体" w:cs="Calibri"/>
                <w:b/>
                <w:color w:val="auto"/>
                <w:kern w:val="2"/>
                <w:sz w:val="44"/>
                <w:szCs w:val="44"/>
                <w:highlight w:val="none"/>
                <w:lang w:val="en-US" w:eastAsia="zh-CN" w:bidi="ar-SA"/>
              </w:rPr>
              <w:t>采购项目</w:t>
            </w:r>
          </w:p>
          <w:p w14:paraId="1F20C6C1">
            <w:pPr>
              <w:widowControl w:val="0"/>
              <w:spacing w:after="156" w:line="300" w:lineRule="auto"/>
              <w:jc w:val="center"/>
              <w:rPr>
                <w:rFonts w:ascii="黑体" w:hAnsi="黑体" w:eastAsia="黑体" w:cs="Calibri"/>
                <w:b/>
                <w:color w:val="auto"/>
                <w:kern w:val="2"/>
                <w:sz w:val="44"/>
                <w:szCs w:val="44"/>
                <w:highlight w:val="none"/>
                <w:lang w:val="en-US" w:eastAsia="zh-CN" w:bidi="ar-SA"/>
              </w:rPr>
            </w:pPr>
            <w:r>
              <w:rPr>
                <w:rFonts w:hint="eastAsia" w:ascii="黑体" w:hAnsi="黑体" w:eastAsia="黑体" w:cs="Calibri"/>
                <w:b/>
                <w:color w:val="auto"/>
                <w:kern w:val="2"/>
                <w:sz w:val="44"/>
                <w:szCs w:val="44"/>
                <w:highlight w:val="none"/>
                <w:lang w:val="en-US" w:eastAsia="zh-CN" w:bidi="ar-SA"/>
              </w:rPr>
              <w:t>响</w:t>
            </w:r>
            <w:r>
              <w:rPr>
                <w:rFonts w:ascii="黑体" w:hAnsi="黑体" w:eastAsia="黑体" w:cs="Calibri"/>
                <w:b/>
                <w:color w:val="auto"/>
                <w:kern w:val="2"/>
                <w:sz w:val="44"/>
                <w:szCs w:val="44"/>
                <w:highlight w:val="none"/>
                <w:lang w:val="en-US" w:eastAsia="zh-CN" w:bidi="ar-SA"/>
              </w:rPr>
              <w:t xml:space="preserve"> </w:t>
            </w:r>
            <w:r>
              <w:rPr>
                <w:rFonts w:hint="eastAsia" w:ascii="黑体" w:hAnsi="黑体" w:eastAsia="黑体" w:cs="Calibri"/>
                <w:b/>
                <w:color w:val="auto"/>
                <w:kern w:val="2"/>
                <w:sz w:val="44"/>
                <w:szCs w:val="44"/>
                <w:highlight w:val="none"/>
                <w:lang w:val="en-US" w:eastAsia="zh-CN" w:bidi="ar-SA"/>
              </w:rPr>
              <w:t>应</w:t>
            </w:r>
            <w:r>
              <w:rPr>
                <w:rFonts w:ascii="黑体" w:hAnsi="黑体" w:eastAsia="黑体" w:cs="Calibri"/>
                <w:b/>
                <w:color w:val="auto"/>
                <w:kern w:val="2"/>
                <w:sz w:val="44"/>
                <w:szCs w:val="44"/>
                <w:highlight w:val="none"/>
                <w:lang w:val="en-US" w:eastAsia="zh-CN" w:bidi="ar-SA"/>
              </w:rPr>
              <w:t xml:space="preserve"> </w:t>
            </w:r>
            <w:r>
              <w:rPr>
                <w:rFonts w:hint="eastAsia" w:ascii="黑体" w:hAnsi="黑体" w:eastAsia="黑体" w:cs="Calibri"/>
                <w:b/>
                <w:color w:val="auto"/>
                <w:kern w:val="2"/>
                <w:sz w:val="44"/>
                <w:szCs w:val="44"/>
                <w:highlight w:val="none"/>
                <w:lang w:val="en-US" w:eastAsia="zh-CN" w:bidi="ar-SA"/>
              </w:rPr>
              <w:t>文</w:t>
            </w:r>
            <w:r>
              <w:rPr>
                <w:rFonts w:ascii="黑体" w:hAnsi="黑体" w:eastAsia="黑体" w:cs="Calibri"/>
                <w:b/>
                <w:color w:val="auto"/>
                <w:kern w:val="2"/>
                <w:sz w:val="44"/>
                <w:szCs w:val="44"/>
                <w:highlight w:val="none"/>
                <w:lang w:val="en-US" w:eastAsia="zh-CN" w:bidi="ar-SA"/>
              </w:rPr>
              <w:t xml:space="preserve"> </w:t>
            </w:r>
            <w:r>
              <w:rPr>
                <w:rFonts w:hint="eastAsia" w:ascii="黑体" w:hAnsi="黑体" w:eastAsia="黑体" w:cs="Calibri"/>
                <w:b/>
                <w:color w:val="auto"/>
                <w:kern w:val="2"/>
                <w:sz w:val="44"/>
                <w:szCs w:val="44"/>
                <w:highlight w:val="none"/>
                <w:lang w:val="en-US" w:eastAsia="zh-CN" w:bidi="ar-SA"/>
              </w:rPr>
              <w:t>件</w:t>
            </w:r>
          </w:p>
          <w:p w14:paraId="5C7984AA">
            <w:pPr>
              <w:spacing w:line="360" w:lineRule="auto"/>
              <w:jc w:val="center"/>
              <w:rPr>
                <w:rFonts w:ascii="黑体" w:hAnsi="黑体" w:eastAsia="黑体" w:cs="宋体"/>
                <w:b/>
                <w:color w:val="auto"/>
                <w:kern w:val="1"/>
                <w:szCs w:val="24"/>
                <w:highlight w:val="none"/>
              </w:rPr>
            </w:pPr>
            <w:r>
              <w:rPr>
                <w:rFonts w:hint="eastAsia" w:ascii="黑体" w:hAnsi="黑体" w:eastAsia="黑体" w:cs="宋体"/>
                <w:b/>
                <w:color w:val="auto"/>
                <w:kern w:val="1"/>
                <w:szCs w:val="24"/>
                <w:highlight w:val="none"/>
                <w:lang w:val="en-GB"/>
              </w:rPr>
              <w:t>密封</w:t>
            </w:r>
            <w:bookmarkStart w:id="134" w:name="_Toc335295542"/>
            <w:bookmarkEnd w:id="134"/>
            <w:bookmarkStart w:id="135" w:name="_Toc49329276"/>
            <w:bookmarkEnd w:id="135"/>
            <w:bookmarkStart w:id="136" w:name="_保证金退付书"/>
            <w:bookmarkEnd w:id="136"/>
            <w:bookmarkStart w:id="137" w:name="_Toc38337722"/>
            <w:bookmarkEnd w:id="137"/>
            <w:r>
              <w:rPr>
                <w:rFonts w:hint="eastAsia" w:ascii="黑体" w:hAnsi="黑体" w:eastAsia="黑体" w:cs="宋体"/>
                <w:b/>
                <w:color w:val="auto"/>
                <w:kern w:val="1"/>
                <w:szCs w:val="24"/>
                <w:highlight w:val="none"/>
                <w:lang w:val="en-GB"/>
              </w:rPr>
              <w:t>内容：</w:t>
            </w:r>
            <w:r>
              <w:rPr>
                <w:rFonts w:ascii="黑体" w:hAnsi="黑体" w:eastAsia="黑体" w:cs="宋体"/>
                <w:b/>
                <w:color w:val="auto"/>
                <w:kern w:val="1"/>
                <w:sz w:val="28"/>
                <w:szCs w:val="28"/>
                <w:highlight w:val="none"/>
              </w:rPr>
              <w:t>□</w:t>
            </w:r>
            <w:r>
              <w:rPr>
                <w:rFonts w:hint="eastAsia" w:ascii="黑体" w:hAnsi="黑体" w:eastAsia="黑体" w:cs="宋体"/>
                <w:b/>
                <w:color w:val="auto"/>
                <w:kern w:val="1"/>
                <w:sz w:val="28"/>
                <w:szCs w:val="28"/>
                <w:highlight w:val="none"/>
              </w:rPr>
              <w:t xml:space="preserve"> </w:t>
            </w:r>
            <w:r>
              <w:rPr>
                <w:rFonts w:hint="eastAsia" w:ascii="黑体" w:hAnsi="黑体" w:eastAsia="黑体" w:cs="宋体"/>
                <w:b/>
                <w:color w:val="auto"/>
                <w:kern w:val="1"/>
                <w:szCs w:val="24"/>
                <w:highlight w:val="none"/>
                <w:lang w:val="en-GB"/>
              </w:rPr>
              <w:t>报价信封</w:t>
            </w:r>
            <w:r>
              <w:rPr>
                <w:rFonts w:ascii="黑体" w:hAnsi="黑体" w:eastAsia="黑体" w:cs="宋体"/>
                <w:b/>
                <w:color w:val="auto"/>
                <w:kern w:val="1"/>
                <w:szCs w:val="24"/>
                <w:highlight w:val="none"/>
                <w:lang w:val="en-GB"/>
              </w:rPr>
              <w:t xml:space="preserve"> /</w:t>
            </w:r>
            <w:r>
              <w:rPr>
                <w:rFonts w:hint="eastAsia" w:ascii="黑体" w:hAnsi="黑体" w:eastAsia="黑体" w:cs="宋体"/>
                <w:b/>
                <w:color w:val="auto"/>
                <w:kern w:val="1"/>
                <w:szCs w:val="24"/>
                <w:highlight w:val="none"/>
                <w:lang w:val="en-GB"/>
              </w:rPr>
              <w:t xml:space="preserve"> </w:t>
            </w:r>
            <w:r>
              <w:rPr>
                <w:rFonts w:ascii="黑体" w:hAnsi="黑体" w:eastAsia="黑体" w:cs="宋体"/>
                <w:b/>
                <w:color w:val="auto"/>
                <w:kern w:val="1"/>
                <w:sz w:val="28"/>
                <w:szCs w:val="28"/>
                <w:highlight w:val="none"/>
              </w:rPr>
              <w:t>□</w:t>
            </w:r>
            <w:bookmarkStart w:id="138" w:name="_Toc108234932"/>
            <w:bookmarkEnd w:id="138"/>
            <w:r>
              <w:rPr>
                <w:rFonts w:hint="eastAsia" w:ascii="黑体" w:hAnsi="黑体" w:eastAsia="黑体" w:cs="宋体"/>
                <w:b/>
                <w:color w:val="auto"/>
                <w:kern w:val="1"/>
                <w:sz w:val="28"/>
                <w:szCs w:val="28"/>
                <w:highlight w:val="none"/>
              </w:rPr>
              <w:t xml:space="preserve"> </w:t>
            </w:r>
            <w:r>
              <w:rPr>
                <w:rFonts w:hint="eastAsia" w:ascii="黑体" w:hAnsi="黑体" w:eastAsia="黑体" w:cs="宋体"/>
                <w:b/>
                <w:color w:val="auto"/>
                <w:kern w:val="1"/>
                <w:szCs w:val="24"/>
                <w:highlight w:val="none"/>
              </w:rPr>
              <w:t>正本磋商响应文件</w:t>
            </w:r>
            <w:r>
              <w:rPr>
                <w:rFonts w:ascii="黑体" w:hAnsi="黑体" w:eastAsia="黑体" w:cs="宋体"/>
                <w:b/>
                <w:color w:val="auto"/>
                <w:kern w:val="1"/>
                <w:szCs w:val="24"/>
                <w:highlight w:val="none"/>
              </w:rPr>
              <w:t xml:space="preserve"> </w:t>
            </w:r>
            <w:r>
              <w:rPr>
                <w:rFonts w:ascii="黑体" w:hAnsi="黑体" w:eastAsia="黑体" w:cs="宋体"/>
                <w:b/>
                <w:color w:val="auto"/>
                <w:kern w:val="1"/>
                <w:szCs w:val="24"/>
                <w:highlight w:val="none"/>
                <w:lang w:val="en-GB"/>
              </w:rPr>
              <w:t>/</w:t>
            </w:r>
            <w:r>
              <w:rPr>
                <w:rFonts w:hint="eastAsia" w:ascii="黑体" w:hAnsi="黑体" w:eastAsia="黑体" w:cs="宋体"/>
                <w:b/>
                <w:color w:val="auto"/>
                <w:kern w:val="1"/>
                <w:szCs w:val="24"/>
                <w:highlight w:val="none"/>
                <w:lang w:val="en-GB"/>
              </w:rPr>
              <w:t xml:space="preserve"> </w:t>
            </w:r>
            <w:r>
              <w:rPr>
                <w:rFonts w:ascii="黑体" w:hAnsi="黑体" w:eastAsia="黑体" w:cs="宋体"/>
                <w:b/>
                <w:color w:val="auto"/>
                <w:kern w:val="1"/>
                <w:sz w:val="28"/>
                <w:szCs w:val="28"/>
                <w:highlight w:val="none"/>
              </w:rPr>
              <w:t>□</w:t>
            </w:r>
            <w:r>
              <w:rPr>
                <w:rFonts w:hint="eastAsia" w:ascii="黑体" w:hAnsi="黑体" w:eastAsia="黑体" w:cs="宋体"/>
                <w:b/>
                <w:color w:val="auto"/>
                <w:kern w:val="1"/>
                <w:sz w:val="28"/>
                <w:szCs w:val="28"/>
                <w:highlight w:val="none"/>
              </w:rPr>
              <w:t xml:space="preserve"> </w:t>
            </w:r>
            <w:r>
              <w:rPr>
                <w:rFonts w:hint="eastAsia" w:ascii="黑体" w:hAnsi="黑体" w:eastAsia="黑体" w:cs="宋体"/>
                <w:b/>
                <w:color w:val="auto"/>
                <w:kern w:val="1"/>
                <w:szCs w:val="24"/>
                <w:highlight w:val="none"/>
              </w:rPr>
              <w:t>副本磋商响应文件</w:t>
            </w:r>
          </w:p>
          <w:p w14:paraId="7CF2FBAB">
            <w:pPr>
              <w:spacing w:after="156"/>
              <w:jc w:val="center"/>
              <w:rPr>
                <w:rFonts w:ascii="黑体" w:hAnsi="黑体" w:eastAsia="黑体" w:cs="宋体"/>
                <w:color w:val="auto"/>
                <w:kern w:val="1"/>
                <w:szCs w:val="24"/>
                <w:highlight w:val="none"/>
              </w:rPr>
            </w:pPr>
            <w:r>
              <w:rPr>
                <w:rFonts w:ascii="黑体" w:hAnsi="黑体" w:eastAsia="黑体" w:cs="宋体"/>
                <w:color w:val="auto"/>
                <w:kern w:val="1"/>
                <w:szCs w:val="24"/>
                <w:highlight w:val="none"/>
              </w:rPr>
              <w:t>请</w:t>
            </w:r>
            <w:r>
              <w:rPr>
                <w:rFonts w:hint="eastAsia" w:ascii="黑体" w:hAnsi="黑体" w:eastAsia="黑体" w:cs="宋体"/>
                <w:color w:val="auto"/>
                <w:kern w:val="1"/>
                <w:szCs w:val="24"/>
                <w:highlight w:val="none"/>
              </w:rPr>
              <w:t>磋商</w:t>
            </w:r>
            <w:r>
              <w:rPr>
                <w:rFonts w:ascii="黑体" w:hAnsi="黑体" w:eastAsia="黑体" w:cs="宋体"/>
                <w:color w:val="auto"/>
                <w:kern w:val="1"/>
                <w:szCs w:val="24"/>
                <w:highlight w:val="none"/>
              </w:rPr>
              <w:t>单位根据递交文件的内容，相应在上“□”处中打“√”</w:t>
            </w:r>
          </w:p>
          <w:p w14:paraId="3B6A7509">
            <w:pPr>
              <w:ind w:firstLine="1337"/>
              <w:rPr>
                <w:rFonts w:ascii="黑体" w:hAnsi="黑体" w:eastAsia="黑体" w:cs="宋体"/>
                <w:b/>
                <w:color w:val="auto"/>
                <w:kern w:val="1"/>
                <w:sz w:val="18"/>
                <w:szCs w:val="18"/>
                <w:highlight w:val="none"/>
              </w:rPr>
            </w:pPr>
          </w:p>
          <w:p w14:paraId="36625FF1">
            <w:pPr>
              <w:spacing w:line="480" w:lineRule="auto"/>
              <w:ind w:firstLine="1928" w:firstLineChars="800"/>
              <w:rPr>
                <w:rFonts w:ascii="黑体" w:hAnsi="黑体" w:eastAsia="黑体" w:cs="宋体"/>
                <w:color w:val="auto"/>
                <w:kern w:val="1"/>
                <w:szCs w:val="24"/>
                <w:highlight w:val="none"/>
              </w:rPr>
            </w:pPr>
            <w:r>
              <w:rPr>
                <w:rFonts w:hint="eastAsia" w:ascii="黑体" w:hAnsi="黑体" w:eastAsia="黑体" w:cs="宋体"/>
                <w:b/>
                <w:color w:val="auto"/>
                <w:kern w:val="1"/>
                <w:szCs w:val="24"/>
                <w:highlight w:val="none"/>
              </w:rPr>
              <w:t>供 应 商：</w:t>
            </w:r>
            <w:r>
              <w:rPr>
                <w:rFonts w:ascii="黑体" w:hAnsi="黑体" w:eastAsia="黑体" w:cs="宋体"/>
                <w:b/>
                <w:color w:val="auto"/>
                <w:kern w:val="1"/>
                <w:szCs w:val="24"/>
                <w:highlight w:val="none"/>
                <w:u w:val="single"/>
              </w:rPr>
              <w:t xml:space="preserve">                      </w:t>
            </w:r>
            <w:r>
              <w:rPr>
                <w:rFonts w:hint="eastAsia" w:ascii="黑体" w:hAnsi="黑体" w:eastAsia="黑体" w:cs="宋体"/>
                <w:b/>
                <w:color w:val="auto"/>
                <w:kern w:val="1"/>
                <w:szCs w:val="24"/>
                <w:highlight w:val="none"/>
              </w:rPr>
              <w:t>（盖章）</w:t>
            </w:r>
          </w:p>
          <w:p w14:paraId="3FA7FC6D">
            <w:pPr>
              <w:spacing w:line="480" w:lineRule="auto"/>
              <w:ind w:firstLine="2891" w:firstLineChars="1200"/>
              <w:rPr>
                <w:rFonts w:hint="eastAsia" w:ascii="黑体" w:hAnsi="黑体" w:eastAsia="黑体" w:cs="宋体"/>
                <w:b/>
                <w:color w:val="auto"/>
                <w:kern w:val="1"/>
                <w:szCs w:val="24"/>
                <w:highlight w:val="none"/>
                <w:lang w:eastAsia="zh-CN"/>
              </w:rPr>
            </w:pPr>
            <w:r>
              <w:rPr>
                <w:rFonts w:hint="eastAsia" w:ascii="黑体" w:hAnsi="黑体" w:eastAsia="黑体" w:cs="宋体"/>
                <w:b/>
                <w:color w:val="auto"/>
                <w:kern w:val="1"/>
                <w:szCs w:val="24"/>
                <w:highlight w:val="none"/>
              </w:rPr>
              <w:t>采购项目编号：</w:t>
            </w:r>
            <w:r>
              <w:rPr>
                <w:rFonts w:hint="eastAsia" w:ascii="黑体" w:hAnsi="黑体" w:eastAsia="黑体" w:cs="宋体"/>
                <w:b/>
                <w:color w:val="auto"/>
                <w:kern w:val="1"/>
                <w:szCs w:val="24"/>
                <w:highlight w:val="none"/>
                <w:u w:val="single"/>
                <w:lang w:eastAsia="zh-CN"/>
              </w:rPr>
              <w:t>HRC24FSCS0501</w:t>
            </w:r>
          </w:p>
          <w:p w14:paraId="7AF81A6E">
            <w:pPr>
              <w:spacing w:line="480" w:lineRule="auto"/>
              <w:ind w:firstLine="118" w:firstLineChars="49"/>
              <w:jc w:val="center"/>
              <w:rPr>
                <w:rFonts w:hint="eastAsia" w:ascii="黑体" w:hAnsi="黑体" w:eastAsia="黑体" w:cs="宋体"/>
                <w:b/>
                <w:color w:val="auto"/>
                <w:kern w:val="1"/>
                <w:szCs w:val="24"/>
                <w:highlight w:val="none"/>
                <w:lang w:eastAsia="zh-CN"/>
              </w:rPr>
            </w:pPr>
            <w:r>
              <w:rPr>
                <w:rFonts w:hint="eastAsia" w:ascii="黑体" w:hAnsi="黑体" w:eastAsia="黑体" w:cs="宋体"/>
                <w:b/>
                <w:color w:val="auto"/>
                <w:kern w:val="1"/>
                <w:szCs w:val="24"/>
                <w:highlight w:val="none"/>
              </w:rPr>
              <w:t>采购项目名称：</w:t>
            </w:r>
            <w:r>
              <w:rPr>
                <w:rFonts w:hint="eastAsia" w:ascii="黑体" w:hAnsi="黑体" w:eastAsia="黑体" w:cs="宋体"/>
                <w:b/>
                <w:color w:val="auto"/>
                <w:kern w:val="1"/>
                <w:szCs w:val="24"/>
                <w:highlight w:val="none"/>
                <w:u w:val="single"/>
                <w:lang w:eastAsia="zh-CN"/>
              </w:rPr>
              <w:t>佛山市养老养生健康产业园项目保安服务</w:t>
            </w:r>
          </w:p>
          <w:p w14:paraId="14A5CD83">
            <w:pPr>
              <w:spacing w:line="264" w:lineRule="auto"/>
              <w:jc w:val="center"/>
              <w:rPr>
                <w:rFonts w:ascii="黑体" w:hAnsi="黑体" w:eastAsia="黑体" w:cs="宋体"/>
                <w:b/>
                <w:color w:val="auto"/>
                <w:kern w:val="1"/>
                <w:szCs w:val="24"/>
                <w:highlight w:val="none"/>
              </w:rPr>
            </w:pPr>
            <w:r>
              <w:rPr>
                <w:rFonts w:hint="eastAsia" w:ascii="黑体" w:hAnsi="黑体" w:eastAsia="黑体" w:cs="宋体"/>
                <w:b/>
                <w:color w:val="auto"/>
                <w:kern w:val="1"/>
                <w:szCs w:val="24"/>
                <w:highlight w:val="none"/>
              </w:rPr>
              <w:t>在</w:t>
            </w:r>
            <w:r>
              <w:rPr>
                <w:rFonts w:hint="eastAsia" w:ascii="黑体" w:hAnsi="黑体" w:eastAsia="黑体" w:cs="宋体"/>
                <w:b/>
                <w:color w:val="auto"/>
                <w:kern w:val="1"/>
                <w:szCs w:val="24"/>
                <w:highlight w:val="none"/>
                <w:u w:val="single"/>
                <w:lang w:eastAsia="zh-CN"/>
              </w:rPr>
              <w:t>202</w:t>
            </w:r>
            <w:r>
              <w:rPr>
                <w:rFonts w:hint="eastAsia" w:ascii="黑体" w:hAnsi="黑体" w:eastAsia="黑体" w:cs="宋体"/>
                <w:b/>
                <w:color w:val="auto"/>
                <w:kern w:val="1"/>
                <w:szCs w:val="24"/>
                <w:highlight w:val="none"/>
                <w:u w:val="single"/>
                <w:lang w:val="en-US" w:eastAsia="zh-CN"/>
              </w:rPr>
              <w:t>4</w:t>
            </w:r>
            <w:r>
              <w:rPr>
                <w:rFonts w:hint="eastAsia" w:ascii="黑体" w:hAnsi="黑体" w:eastAsia="黑体" w:cs="宋体"/>
                <w:b/>
                <w:color w:val="auto"/>
                <w:kern w:val="1"/>
                <w:szCs w:val="24"/>
                <w:highlight w:val="none"/>
                <w:u w:val="single"/>
                <w:lang w:eastAsia="zh-CN"/>
              </w:rPr>
              <w:t>年</w:t>
            </w:r>
            <w:r>
              <w:rPr>
                <w:rFonts w:hint="eastAsia" w:ascii="黑体" w:hAnsi="黑体" w:eastAsia="黑体" w:cs="宋体"/>
                <w:b/>
                <w:color w:val="auto"/>
                <w:kern w:val="1"/>
                <w:szCs w:val="24"/>
                <w:highlight w:val="none"/>
                <w:u w:val="single"/>
                <w:lang w:val="en-US" w:eastAsia="zh-CN"/>
              </w:rPr>
              <w:t xml:space="preserve">  </w:t>
            </w:r>
            <w:r>
              <w:rPr>
                <w:rFonts w:hint="eastAsia" w:ascii="黑体" w:hAnsi="黑体" w:eastAsia="黑体" w:cs="宋体"/>
                <w:b/>
                <w:color w:val="auto"/>
                <w:kern w:val="1"/>
                <w:szCs w:val="24"/>
                <w:highlight w:val="none"/>
              </w:rPr>
              <w:t>月</w:t>
            </w:r>
            <w:r>
              <w:rPr>
                <w:rFonts w:hint="eastAsia" w:ascii="黑体" w:hAnsi="黑体" w:eastAsia="黑体" w:cs="宋体"/>
                <w:b/>
                <w:color w:val="auto"/>
                <w:kern w:val="1"/>
                <w:szCs w:val="24"/>
                <w:highlight w:val="none"/>
                <w:u w:val="single"/>
                <w:lang w:val="en-US" w:eastAsia="zh-CN"/>
              </w:rPr>
              <w:t xml:space="preserve">  </w:t>
            </w:r>
            <w:r>
              <w:rPr>
                <w:rFonts w:hint="eastAsia" w:ascii="黑体" w:hAnsi="黑体" w:eastAsia="黑体" w:cs="宋体"/>
                <w:b/>
                <w:color w:val="auto"/>
                <w:kern w:val="1"/>
                <w:szCs w:val="24"/>
                <w:highlight w:val="none"/>
              </w:rPr>
              <w:t>日</w:t>
            </w:r>
            <w:r>
              <w:rPr>
                <w:rFonts w:hint="eastAsia" w:ascii="黑体" w:hAnsi="黑体" w:eastAsia="黑体" w:cs="宋体"/>
                <w:b/>
                <w:color w:val="auto"/>
                <w:kern w:val="1"/>
                <w:szCs w:val="24"/>
                <w:highlight w:val="none"/>
                <w:u w:val="single"/>
                <w:lang w:val="en-US" w:eastAsia="zh-CN"/>
              </w:rPr>
              <w:t xml:space="preserve">  </w:t>
            </w:r>
            <w:r>
              <w:rPr>
                <w:rFonts w:hint="eastAsia" w:ascii="黑体" w:hAnsi="黑体" w:eastAsia="黑体" w:cs="宋体"/>
                <w:b/>
                <w:color w:val="auto"/>
                <w:kern w:val="1"/>
                <w:szCs w:val="24"/>
                <w:highlight w:val="none"/>
              </w:rPr>
              <w:t>午</w:t>
            </w:r>
            <w:r>
              <w:rPr>
                <w:rFonts w:hint="eastAsia" w:ascii="黑体" w:hAnsi="黑体" w:eastAsia="黑体" w:cs="宋体"/>
                <w:b/>
                <w:color w:val="auto"/>
                <w:kern w:val="1"/>
                <w:szCs w:val="24"/>
                <w:highlight w:val="none"/>
                <w:u w:val="single"/>
                <w:lang w:val="en-US" w:eastAsia="zh-CN"/>
              </w:rPr>
              <w:t xml:space="preserve">  </w:t>
            </w:r>
            <w:r>
              <w:rPr>
                <w:rFonts w:hint="eastAsia" w:ascii="黑体" w:hAnsi="黑体" w:eastAsia="黑体" w:cs="宋体"/>
                <w:b/>
                <w:color w:val="auto"/>
                <w:kern w:val="1"/>
                <w:szCs w:val="24"/>
                <w:highlight w:val="none"/>
              </w:rPr>
              <w:t>：</w:t>
            </w:r>
            <w:r>
              <w:rPr>
                <w:rFonts w:hint="eastAsia" w:ascii="黑体" w:hAnsi="黑体" w:eastAsia="黑体" w:cs="宋体"/>
                <w:b/>
                <w:color w:val="auto"/>
                <w:kern w:val="1"/>
                <w:szCs w:val="24"/>
                <w:highlight w:val="none"/>
                <w:u w:val="single"/>
                <w:lang w:val="en-US" w:eastAsia="zh-CN"/>
              </w:rPr>
              <w:t xml:space="preserve">  </w:t>
            </w:r>
            <w:r>
              <w:rPr>
                <w:rFonts w:hint="eastAsia" w:ascii="黑体" w:hAnsi="黑体" w:eastAsia="黑体" w:cs="宋体"/>
                <w:b/>
                <w:color w:val="auto"/>
                <w:kern w:val="1"/>
                <w:szCs w:val="24"/>
                <w:highlight w:val="none"/>
              </w:rPr>
              <w:t>之前不得启封</w:t>
            </w:r>
          </w:p>
          <w:p w14:paraId="5DDA8592">
            <w:pPr>
              <w:ind w:firstLine="354"/>
              <w:jc w:val="center"/>
              <w:rPr>
                <w:rFonts w:hint="eastAsia" w:ascii="黑体" w:hAnsi="黑体" w:eastAsia="黑体" w:cs="宋体"/>
                <w:b/>
                <w:color w:val="auto"/>
                <w:kern w:val="1"/>
                <w:szCs w:val="21"/>
                <w:highlight w:val="none"/>
              </w:rPr>
            </w:pPr>
            <w:r>
              <w:rPr>
                <w:rFonts w:hint="eastAsia" w:ascii="黑体" w:hAnsi="黑体" w:eastAsia="黑体" w:cs="宋体"/>
                <w:b/>
                <w:color w:val="auto"/>
                <w:kern w:val="1"/>
                <w:szCs w:val="21"/>
                <w:highlight w:val="none"/>
              </w:rPr>
              <w:t>递交地点：佛山市南海区季华东路天安中心3座1410开标室</w:t>
            </w:r>
          </w:p>
          <w:p w14:paraId="16B44166">
            <w:pPr>
              <w:spacing w:line="300" w:lineRule="auto"/>
              <w:ind w:firstLine="470"/>
              <w:jc w:val="left"/>
              <w:rPr>
                <w:rFonts w:ascii="黑体" w:hAnsi="黑体" w:eastAsia="黑体" w:cs="宋体"/>
                <w:b/>
                <w:color w:val="auto"/>
                <w:kern w:val="1"/>
                <w:sz w:val="21"/>
                <w:szCs w:val="21"/>
                <w:highlight w:val="none"/>
                <w:lang w:val="en-GB"/>
              </w:rPr>
            </w:pPr>
            <w:r>
              <w:rPr>
                <w:rFonts w:ascii="黑体" w:hAnsi="黑体" w:eastAsia="黑体" w:cs="宋体"/>
                <w:b/>
                <w:color w:val="auto"/>
                <w:kern w:val="1"/>
                <w:sz w:val="21"/>
                <w:szCs w:val="21"/>
                <w:highlight w:val="none"/>
                <w:lang w:val="en-GB"/>
              </w:rPr>
              <w:t>1</w:t>
            </w:r>
            <w:r>
              <w:rPr>
                <w:rFonts w:hint="eastAsia" w:ascii="黑体" w:hAnsi="黑体" w:eastAsia="黑体" w:cs="宋体"/>
                <w:b/>
                <w:color w:val="auto"/>
                <w:kern w:val="1"/>
                <w:sz w:val="21"/>
                <w:szCs w:val="21"/>
                <w:highlight w:val="none"/>
                <w:lang w:val="en-GB"/>
              </w:rPr>
              <w:t>、声明：同意由递交磋商响应文件登记顺序的前</w:t>
            </w:r>
            <w:r>
              <w:rPr>
                <w:rFonts w:hint="eastAsia" w:ascii="黑体" w:hAnsi="黑体" w:eastAsia="黑体" w:cs="宋体"/>
                <w:b/>
                <w:color w:val="auto"/>
                <w:kern w:val="1"/>
                <w:sz w:val="21"/>
                <w:szCs w:val="21"/>
                <w:highlight w:val="none"/>
                <w:lang w:val="en-GB" w:eastAsia="zh-CN"/>
              </w:rPr>
              <w:t>二</w:t>
            </w:r>
            <w:r>
              <w:rPr>
                <w:rFonts w:hint="eastAsia" w:ascii="黑体" w:hAnsi="黑体" w:eastAsia="黑体" w:cs="宋体"/>
                <w:b/>
                <w:color w:val="auto"/>
                <w:kern w:val="1"/>
                <w:sz w:val="21"/>
                <w:szCs w:val="21"/>
                <w:highlight w:val="none"/>
                <w:lang w:val="en-GB"/>
              </w:rPr>
              <w:t>名供应商，将作为集中推选的代表，现场对所有磋商响应文件进行密封性检查。</w:t>
            </w:r>
          </w:p>
          <w:p w14:paraId="1F439C50">
            <w:pPr>
              <w:spacing w:line="300" w:lineRule="auto"/>
              <w:ind w:right="238" w:firstLine="472"/>
              <w:jc w:val="left"/>
              <w:rPr>
                <w:rFonts w:ascii="黑体" w:hAnsi="黑体" w:eastAsia="黑体" w:cs="宋体"/>
                <w:b/>
                <w:color w:val="auto"/>
                <w:kern w:val="1"/>
                <w:szCs w:val="21"/>
                <w:highlight w:val="none"/>
              </w:rPr>
            </w:pPr>
            <w:r>
              <w:rPr>
                <w:rFonts w:ascii="黑体" w:hAnsi="黑体" w:eastAsia="黑体" w:cs="宋体"/>
                <w:b/>
                <w:color w:val="auto"/>
                <w:kern w:val="1"/>
                <w:sz w:val="21"/>
                <w:szCs w:val="21"/>
                <w:highlight w:val="none"/>
              </w:rPr>
              <w:t>2</w:t>
            </w:r>
            <w:r>
              <w:rPr>
                <w:rFonts w:hint="eastAsia" w:ascii="黑体" w:hAnsi="黑体" w:eastAsia="黑体" w:cs="宋体"/>
                <w:b/>
                <w:color w:val="auto"/>
                <w:kern w:val="1"/>
                <w:sz w:val="21"/>
                <w:szCs w:val="21"/>
                <w:highlight w:val="none"/>
              </w:rPr>
              <w:t>、提示：供应商的授权代表必须携带本人身份证亲自递交磋商响应文件和出席磋商全程；并响应评委会的要求在规定合理时间内到达评审现场处理磋商相关事宜。</w:t>
            </w:r>
          </w:p>
        </w:tc>
      </w:tr>
    </w:tbl>
    <w:p w14:paraId="78AE5B3C">
      <w:pPr>
        <w:spacing w:line="360" w:lineRule="auto"/>
        <w:rPr>
          <w:rFonts w:ascii="黑体" w:hAnsi="黑体" w:eastAsia="黑体"/>
          <w:b/>
          <w:color w:val="auto"/>
          <w:kern w:val="1"/>
          <w:szCs w:val="24"/>
          <w:highlight w:val="none"/>
          <w:lang w:val="en-GB"/>
        </w:rPr>
      </w:pPr>
      <w:r>
        <w:rPr>
          <w:rFonts w:hint="eastAsia" w:ascii="黑体" w:hAnsi="黑体" w:eastAsia="黑体"/>
          <w:b/>
          <w:color w:val="auto"/>
          <w:kern w:val="1"/>
          <w:szCs w:val="24"/>
          <w:highlight w:val="none"/>
          <w:lang w:val="en-GB"/>
        </w:rPr>
        <w:t>注意事项</w:t>
      </w:r>
    </w:p>
    <w:p w14:paraId="6B032C8C">
      <w:pPr>
        <w:spacing w:line="300" w:lineRule="auto"/>
        <w:outlineLvl w:val="0"/>
        <w:rPr>
          <w:rFonts w:ascii="黑体" w:hAnsi="黑体" w:eastAsia="黑体"/>
          <w:color w:val="auto"/>
          <w:kern w:val="1"/>
          <w:sz w:val="21"/>
          <w:szCs w:val="21"/>
          <w:highlight w:val="none"/>
          <w:lang w:val="en-GB"/>
        </w:rPr>
      </w:pPr>
      <w:bookmarkStart w:id="139" w:name="_Toc24666"/>
      <w:r>
        <w:rPr>
          <w:rFonts w:hint="eastAsia" w:ascii="黑体" w:hAnsi="黑体" w:eastAsia="黑体"/>
          <w:color w:val="auto"/>
          <w:kern w:val="1"/>
          <w:sz w:val="21"/>
          <w:szCs w:val="21"/>
          <w:highlight w:val="none"/>
          <w:lang w:val="en-GB"/>
        </w:rPr>
        <w:t>一、报价信封另单独封装，并按下列顺序装订：</w:t>
      </w:r>
      <w:bookmarkEnd w:id="139"/>
    </w:p>
    <w:p w14:paraId="3684035E">
      <w:pPr>
        <w:tabs>
          <w:tab w:val="left" w:pos="900"/>
        </w:tabs>
        <w:spacing w:line="300" w:lineRule="auto"/>
        <w:ind w:firstLine="525" w:firstLineChars="250"/>
        <w:rPr>
          <w:rFonts w:ascii="黑体" w:hAnsi="黑体" w:eastAsia="黑体"/>
          <w:color w:val="auto"/>
          <w:kern w:val="1"/>
          <w:sz w:val="21"/>
          <w:szCs w:val="21"/>
          <w:highlight w:val="none"/>
          <w:lang w:val="en-GB"/>
        </w:rPr>
      </w:pPr>
      <w:r>
        <w:rPr>
          <w:rFonts w:ascii="黑体" w:hAnsi="黑体" w:eastAsia="黑体"/>
          <w:color w:val="auto"/>
          <w:kern w:val="1"/>
          <w:sz w:val="21"/>
          <w:szCs w:val="21"/>
          <w:highlight w:val="none"/>
          <w:lang w:val="en-GB"/>
        </w:rPr>
        <w:t>1.</w:t>
      </w:r>
      <w:r>
        <w:rPr>
          <w:rFonts w:hint="eastAsia" w:ascii="黑体" w:hAnsi="黑体" w:eastAsia="黑体"/>
          <w:color w:val="auto"/>
          <w:kern w:val="1"/>
          <w:sz w:val="21"/>
          <w:szCs w:val="21"/>
          <w:highlight w:val="none"/>
          <w:lang w:val="en-GB"/>
        </w:rPr>
        <w:t>《报价一览表》原件（须加盖公章）；</w:t>
      </w:r>
    </w:p>
    <w:p w14:paraId="38365F25">
      <w:pPr>
        <w:tabs>
          <w:tab w:val="left" w:pos="900"/>
        </w:tabs>
        <w:spacing w:line="300" w:lineRule="auto"/>
        <w:ind w:left="540"/>
        <w:rPr>
          <w:rFonts w:ascii="黑体" w:hAnsi="黑体" w:eastAsia="黑体"/>
          <w:color w:val="auto"/>
          <w:kern w:val="1"/>
          <w:sz w:val="21"/>
          <w:szCs w:val="21"/>
          <w:highlight w:val="none"/>
          <w:lang w:val="en-GB"/>
        </w:rPr>
      </w:pPr>
      <w:r>
        <w:rPr>
          <w:rFonts w:hint="eastAsia" w:ascii="黑体" w:hAnsi="黑体" w:eastAsia="黑体"/>
          <w:color w:val="auto"/>
          <w:kern w:val="1"/>
          <w:sz w:val="21"/>
          <w:szCs w:val="21"/>
          <w:highlight w:val="none"/>
        </w:rPr>
        <w:t>2.</w:t>
      </w:r>
      <w:r>
        <w:rPr>
          <w:rFonts w:hint="eastAsia" w:ascii="黑体" w:hAnsi="黑体" w:eastAsia="黑体"/>
          <w:color w:val="auto"/>
          <w:kern w:val="1"/>
          <w:sz w:val="21"/>
          <w:szCs w:val="21"/>
          <w:highlight w:val="none"/>
          <w:lang w:val="en-GB"/>
        </w:rPr>
        <w:t>授权书原件（须加盖公章）；</w:t>
      </w:r>
    </w:p>
    <w:p w14:paraId="335C509A">
      <w:pPr>
        <w:tabs>
          <w:tab w:val="left" w:pos="900"/>
        </w:tabs>
        <w:spacing w:line="300" w:lineRule="auto"/>
        <w:ind w:left="540"/>
        <w:rPr>
          <w:rFonts w:ascii="黑体" w:hAnsi="黑体" w:eastAsia="黑体"/>
          <w:color w:val="auto"/>
          <w:kern w:val="1"/>
          <w:sz w:val="21"/>
          <w:szCs w:val="21"/>
          <w:highlight w:val="none"/>
          <w:lang w:val="en-GB"/>
        </w:rPr>
      </w:pPr>
      <w:r>
        <w:rPr>
          <w:rFonts w:hint="eastAsia" w:ascii="黑体" w:hAnsi="黑体" w:eastAsia="黑体"/>
          <w:color w:val="auto"/>
          <w:kern w:val="1"/>
          <w:sz w:val="21"/>
          <w:szCs w:val="21"/>
          <w:highlight w:val="none"/>
        </w:rPr>
        <w:t>3.</w:t>
      </w:r>
      <w:r>
        <w:rPr>
          <w:rFonts w:hint="eastAsia" w:ascii="黑体" w:hAnsi="黑体" w:eastAsia="黑体"/>
          <w:color w:val="auto"/>
          <w:kern w:val="1"/>
          <w:sz w:val="21"/>
          <w:szCs w:val="21"/>
          <w:highlight w:val="none"/>
          <w:lang w:val="en-GB"/>
        </w:rPr>
        <w:t>磋商响应文件电子文档。</w:t>
      </w:r>
    </w:p>
    <w:p w14:paraId="4A39AFF7">
      <w:pPr>
        <w:spacing w:line="300" w:lineRule="auto"/>
        <w:outlineLvl w:val="0"/>
        <w:rPr>
          <w:rFonts w:ascii="黑体" w:hAnsi="黑体" w:eastAsia="黑体"/>
          <w:color w:val="auto"/>
          <w:kern w:val="1"/>
          <w:sz w:val="21"/>
          <w:szCs w:val="21"/>
          <w:highlight w:val="none"/>
          <w:lang w:val="en-GB"/>
        </w:rPr>
      </w:pPr>
      <w:bookmarkStart w:id="140" w:name="_Toc11742"/>
      <w:r>
        <w:rPr>
          <w:rFonts w:hint="eastAsia" w:ascii="黑体" w:hAnsi="黑体" w:eastAsia="黑体"/>
          <w:color w:val="auto"/>
          <w:kern w:val="1"/>
          <w:sz w:val="21"/>
          <w:szCs w:val="21"/>
          <w:highlight w:val="none"/>
          <w:lang w:val="en-GB"/>
        </w:rPr>
        <w:t>二、重要提示：</w:t>
      </w:r>
      <w:bookmarkEnd w:id="140"/>
    </w:p>
    <w:p w14:paraId="7A242EDA">
      <w:pPr>
        <w:tabs>
          <w:tab w:val="left" w:pos="900"/>
        </w:tabs>
        <w:spacing w:line="300" w:lineRule="auto"/>
        <w:ind w:firstLine="525" w:firstLineChars="250"/>
        <w:rPr>
          <w:rFonts w:ascii="黑体" w:hAnsi="黑体" w:eastAsia="黑体"/>
          <w:color w:val="auto"/>
          <w:kern w:val="1"/>
          <w:sz w:val="21"/>
          <w:szCs w:val="21"/>
          <w:highlight w:val="none"/>
          <w:lang w:val="en-GB"/>
        </w:rPr>
      </w:pPr>
      <w:r>
        <w:rPr>
          <w:rFonts w:ascii="黑体" w:hAnsi="黑体" w:eastAsia="黑体" w:cs="宋体"/>
          <w:color w:val="auto"/>
          <w:kern w:val="1"/>
          <w:sz w:val="21"/>
          <w:szCs w:val="21"/>
          <w:highlight w:val="none"/>
          <w:lang w:val="en-GB"/>
        </w:rPr>
        <w:t>1.</w:t>
      </w:r>
      <w:r>
        <w:rPr>
          <w:rFonts w:hint="eastAsia" w:ascii="黑体" w:hAnsi="黑体" w:eastAsia="黑体" w:cs="宋体"/>
          <w:color w:val="auto"/>
          <w:kern w:val="1"/>
          <w:sz w:val="21"/>
          <w:szCs w:val="21"/>
          <w:highlight w:val="none"/>
          <w:lang w:val="en-US" w:eastAsia="zh-CN"/>
        </w:rPr>
        <w:t xml:space="preserve"> </w:t>
      </w:r>
      <w:r>
        <w:rPr>
          <w:rFonts w:hint="eastAsia" w:ascii="黑体" w:hAnsi="黑体" w:eastAsia="黑体" w:cs="宋体"/>
          <w:color w:val="auto"/>
          <w:kern w:val="1"/>
          <w:sz w:val="21"/>
          <w:szCs w:val="21"/>
          <w:highlight w:val="none"/>
          <w:lang w:val="en-GB"/>
        </w:rPr>
        <w:t>报价信封与</w:t>
      </w:r>
      <w:r>
        <w:rPr>
          <w:rFonts w:hint="eastAsia" w:ascii="黑体" w:hAnsi="黑体" w:eastAsia="黑体" w:cs="宋体"/>
          <w:color w:val="auto"/>
          <w:kern w:val="1"/>
          <w:sz w:val="21"/>
          <w:szCs w:val="21"/>
          <w:highlight w:val="none"/>
        </w:rPr>
        <w:t>正、副本</w:t>
      </w:r>
      <w:r>
        <w:rPr>
          <w:rFonts w:hint="eastAsia" w:ascii="黑体" w:hAnsi="黑体" w:eastAsia="黑体" w:cs="宋体"/>
          <w:color w:val="auto"/>
          <w:kern w:val="1"/>
          <w:sz w:val="21"/>
          <w:szCs w:val="21"/>
          <w:highlight w:val="none"/>
          <w:lang w:val="en-GB"/>
        </w:rPr>
        <w:t>必须分开单独封装并标贴此封面，密封口处须加盖公章</w:t>
      </w:r>
      <w:r>
        <w:rPr>
          <w:rFonts w:hint="eastAsia" w:ascii="黑体" w:hAnsi="黑体" w:eastAsia="黑体"/>
          <w:color w:val="auto"/>
          <w:kern w:val="1"/>
          <w:sz w:val="21"/>
          <w:szCs w:val="21"/>
          <w:highlight w:val="none"/>
          <w:lang w:val="en-GB"/>
        </w:rPr>
        <w:t>或授权代表签名</w:t>
      </w:r>
      <w:r>
        <w:rPr>
          <w:rFonts w:hint="eastAsia" w:ascii="黑体" w:hAnsi="黑体" w:eastAsia="黑体" w:cs="宋体"/>
          <w:color w:val="auto"/>
          <w:kern w:val="1"/>
          <w:sz w:val="21"/>
          <w:szCs w:val="21"/>
          <w:highlight w:val="none"/>
          <w:lang w:val="en-GB"/>
        </w:rPr>
        <w:t>。</w:t>
      </w:r>
    </w:p>
    <w:p w14:paraId="28BC860F">
      <w:pPr>
        <w:spacing w:line="300" w:lineRule="auto"/>
        <w:ind w:firstLine="505" w:firstLineChars="250"/>
        <w:rPr>
          <w:color w:val="auto"/>
          <w:kern w:val="1"/>
          <w:sz w:val="21"/>
          <w:szCs w:val="21"/>
          <w:highlight w:val="none"/>
        </w:rPr>
      </w:pPr>
      <w:r>
        <w:rPr>
          <w:rFonts w:ascii="黑体" w:hAnsi="黑体" w:eastAsia="黑体"/>
          <w:color w:val="auto"/>
          <w:spacing w:val="-4"/>
          <w:kern w:val="1"/>
          <w:sz w:val="21"/>
          <w:szCs w:val="21"/>
          <w:highlight w:val="none"/>
        </w:rPr>
        <w:t>2.</w:t>
      </w:r>
      <w:r>
        <w:rPr>
          <w:rFonts w:hint="eastAsia" w:ascii="黑体" w:hAnsi="黑体" w:eastAsia="黑体"/>
          <w:color w:val="auto"/>
          <w:spacing w:val="-4"/>
          <w:kern w:val="1"/>
          <w:sz w:val="21"/>
          <w:szCs w:val="21"/>
          <w:highlight w:val="none"/>
          <w:lang w:val="en-US" w:eastAsia="zh-CN"/>
        </w:rPr>
        <w:t xml:space="preserve"> </w:t>
      </w:r>
      <w:r>
        <w:rPr>
          <w:rFonts w:hint="eastAsia" w:ascii="黑体" w:hAnsi="黑体" w:eastAsia="黑体"/>
          <w:color w:val="auto"/>
          <w:spacing w:val="-4"/>
          <w:kern w:val="1"/>
          <w:sz w:val="21"/>
          <w:szCs w:val="21"/>
          <w:highlight w:val="none"/>
        </w:rPr>
        <w:t>因交通及停车或有不便，递交响应文件时务请提早到达！</w:t>
      </w:r>
    </w:p>
    <w:p w14:paraId="39A8B0EB">
      <w:pPr>
        <w:rPr>
          <w:rFonts w:hint="eastAsia" w:ascii="宋体" w:hAnsi="宋体"/>
          <w:color w:val="auto"/>
          <w:sz w:val="22"/>
          <w:highlight w:val="none"/>
          <w:lang w:val="en-GB"/>
        </w:rPr>
      </w:pPr>
    </w:p>
    <w:p w14:paraId="5A52EE3C"/>
    <w:sectPr>
      <w:footerReference r:id="rId15" w:type="first"/>
      <w:headerReference r:id="rId13" w:type="default"/>
      <w:footerReference r:id="rId14" w:type="default"/>
      <w:pgSz w:w="11906" w:h="16838"/>
      <w:pgMar w:top="1247" w:right="1304" w:bottom="1247" w:left="1304" w:header="777" w:footer="7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A9DC">
    <w:pPr>
      <w:widowControl w:val="0"/>
      <w:wordWrap w:val="0"/>
      <w:snapToGrid w:val="0"/>
      <w:jc w:val="both"/>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925D">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F604">
    <w:pPr>
      <w:widowControl w:val="0"/>
      <w:snapToGrid w:val="0"/>
      <w:ind w:firstLine="2520" w:firstLineChars="140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EA29">
    <w:pPr>
      <w:widowControl w:val="0"/>
      <w:snapToGrid w:val="0"/>
      <w:ind w:firstLine="2520" w:firstLineChars="14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F82AB3F">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12</w:t>
                          </w:r>
                          <w:r>
                            <w:rPr>
                              <w:rFonts w:hint="eastAsia"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7F82AB3F">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12</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D58A">
    <w:pPr>
      <w:widowControl w:val="0"/>
      <w:wordWrap w:val="0"/>
      <w:snapToGrid w:val="0"/>
      <w:jc w:val="both"/>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038BC083">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112</w:t>
                          </w:r>
                          <w:r>
                            <w:rPr>
                              <w:rFonts w:hint="eastAsia"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MHOk9zOAQAAlwMAAA4AAAAAAAAAAQAgAAAAHgEAAGRycy9l&#10;Mm9Eb2MueG1sUEsFBgAAAAAGAAYAWQEAAF4FAAAAAA==&#10;">
              <v:fill on="f" focussize="0,0"/>
              <v:stroke on="f"/>
              <v:imagedata o:title=""/>
              <o:lock v:ext="edit" aspectratio="f"/>
              <v:textbox inset="0mm,0mm,0mm,0mm" style="mso-fit-shape-to-text:t;">
                <w:txbxContent>
                  <w:p w14:paraId="038BC083">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112</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621C">
    <w:pPr>
      <w:widowControl w:val="0"/>
      <w:wordWrap w:val="0"/>
      <w:snapToGrid w:val="0"/>
      <w:jc w:val="righ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A23ADD">
                          <w:pPr>
                            <w:widowControl w:val="0"/>
                            <w:wordWrap w:val="0"/>
                            <w:snapToGrid w:val="0"/>
                            <w:jc w:val="righ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 xml:space="preserve">第 </w:t>
                          </w: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111</w:t>
                          </w:r>
                          <w:r>
                            <w:rPr>
                              <w:rFonts w:hint="eastAsia" w:ascii="Times New Roman" w:hAnsi="Times New Roman" w:eastAsia="宋体" w:cs="Times New Roman"/>
                              <w:kern w:val="0"/>
                              <w:sz w:val="18"/>
                              <w:szCs w:val="18"/>
                              <w:lang w:val="en-US" w:eastAsia="zh-CN" w:bidi="ar-SA"/>
                            </w:rPr>
                            <w:fldChar w:fldCharType="end"/>
                          </w:r>
                          <w:r>
                            <w:rPr>
                              <w:rFonts w:hint="eastAsia" w:ascii="Times New Roman" w:hAnsi="Times New Roman" w:eastAsia="宋体"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7A23ADD">
                    <w:pPr>
                      <w:widowControl w:val="0"/>
                      <w:wordWrap w:val="0"/>
                      <w:snapToGrid w:val="0"/>
                      <w:jc w:val="righ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 xml:space="preserve">第 </w:t>
                    </w: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111</w:t>
                    </w:r>
                    <w:r>
                      <w:rPr>
                        <w:rFonts w:hint="eastAsia" w:ascii="Times New Roman" w:hAnsi="Times New Roman" w:eastAsia="宋体" w:cs="Times New Roman"/>
                        <w:kern w:val="0"/>
                        <w:sz w:val="18"/>
                        <w:szCs w:val="18"/>
                        <w:lang w:val="en-US" w:eastAsia="zh-CN" w:bidi="ar-SA"/>
                      </w:rPr>
                      <w:fldChar w:fldCharType="end"/>
                    </w:r>
                    <w:r>
                      <w:rPr>
                        <w:rFonts w:hint="eastAsia" w:ascii="Times New Roman" w:hAnsi="Times New Roman" w:eastAsia="宋体" w:cs="Times New Roman"/>
                        <w:kern w:val="0"/>
                        <w:sz w:val="18"/>
                        <w:szCs w:val="18"/>
                        <w:lang w:val="en-US" w:eastAsia="zh-CN" w:bidi="ar-S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D9A5">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C27F9A">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 xml:space="preserve">第 </w:t>
                          </w: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94</w:t>
                          </w:r>
                          <w:r>
                            <w:rPr>
                              <w:rFonts w:hint="eastAsia" w:ascii="Times New Roman" w:hAnsi="Times New Roman" w:eastAsia="宋体" w:cs="Times New Roman"/>
                              <w:kern w:val="0"/>
                              <w:sz w:val="18"/>
                              <w:szCs w:val="18"/>
                              <w:lang w:val="en-US" w:eastAsia="zh-CN" w:bidi="ar-SA"/>
                            </w:rPr>
                            <w:fldChar w:fldCharType="end"/>
                          </w:r>
                          <w:r>
                            <w:rPr>
                              <w:rFonts w:hint="eastAsia" w:ascii="Times New Roman" w:hAnsi="Times New Roman" w:eastAsia="宋体"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FC27F9A">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 xml:space="preserve">第 </w:t>
                    </w: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94</w:t>
                    </w:r>
                    <w:r>
                      <w:rPr>
                        <w:rFonts w:hint="eastAsia" w:ascii="Times New Roman" w:hAnsi="Times New Roman" w:eastAsia="宋体" w:cs="Times New Roman"/>
                        <w:kern w:val="0"/>
                        <w:sz w:val="18"/>
                        <w:szCs w:val="18"/>
                        <w:lang w:val="en-US" w:eastAsia="zh-CN" w:bidi="ar-SA"/>
                      </w:rPr>
                      <w:fldChar w:fldCharType="end"/>
                    </w:r>
                    <w:r>
                      <w:rPr>
                        <w:rFonts w:hint="eastAsia" w:ascii="Times New Roman" w:hAnsi="Times New Roman" w:eastAsia="宋体" w:cs="Times New Roman"/>
                        <w:kern w:val="0"/>
                        <w:sz w:val="18"/>
                        <w:szCs w:val="18"/>
                        <w:lang w:val="en-US" w:eastAsia="zh-CN" w:bidi="ar-S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DEDD">
    <w:pPr>
      <w:pStyle w:val="11"/>
      <w:wordWrap w:val="0"/>
      <w:jc w:val="right"/>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85AB67">
                          <w:pPr>
                            <w:pStyle w:val="11"/>
                            <w:wordWrap w:val="0"/>
                            <w:jc w:val="right"/>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第 </w:t>
                          </w: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ascii="Times New Roman" w:hAnsi="Times New Roman" w:eastAsia="宋体" w:cs="Times New Roman"/>
                            </w:rPr>
                            <w:t>111</w:t>
                          </w:r>
                          <w:r>
                            <w:rPr>
                              <w:rFonts w:hint="eastAsia" w:ascii="Times New Roman" w:hAnsi="Times New Roman" w:eastAsia="宋体" w:cs="Times New Roman"/>
                              <w:lang w:eastAsia="zh-CN"/>
                            </w:rPr>
                            <w:fldChar w:fldCharType="end"/>
                          </w:r>
                          <w:r>
                            <w:rPr>
                              <w:rFonts w:hint="eastAsia" w:ascii="Times New Roman" w:hAnsi="Times New Roman" w:eastAsia="宋体" w:cs="Times New Roman"/>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685AB67">
                    <w:pPr>
                      <w:pStyle w:val="11"/>
                      <w:wordWrap w:val="0"/>
                      <w:jc w:val="right"/>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第 </w:t>
                    </w: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ascii="Times New Roman" w:hAnsi="Times New Roman" w:eastAsia="宋体" w:cs="Times New Roman"/>
                      </w:rPr>
                      <w:t>111</w:t>
                    </w:r>
                    <w:r>
                      <w:rPr>
                        <w:rFonts w:hint="eastAsia" w:ascii="Times New Roman" w:hAnsi="Times New Roman" w:eastAsia="宋体" w:cs="Times New Roman"/>
                        <w:lang w:eastAsia="zh-CN"/>
                      </w:rPr>
                      <w:fldChar w:fldCharType="end"/>
                    </w:r>
                    <w:r>
                      <w:rPr>
                        <w:rFonts w:hint="eastAsia" w:ascii="Times New Roman" w:hAnsi="Times New Roman" w:eastAsia="宋体" w:cs="Times New Roman"/>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1FCD">
    <w:pPr>
      <w:pStyle w:val="11"/>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77F7A">
                          <w:pPr>
                            <w:pStyle w:val="11"/>
                            <w:rPr>
                              <w:rFonts w:hint="eastAsia" w:ascii="Times New Roman" w:hAnsi="Times New Roman" w:eastAsia="宋体" w:cs="Times New Roman"/>
                            </w:rPr>
                          </w:pPr>
                          <w:r>
                            <w:rPr>
                              <w:rFonts w:hint="eastAsia" w:ascii="Times New Roman" w:hAnsi="Times New Roman" w:eastAsia="宋体" w:cs="Times New Roman"/>
                            </w:rPr>
                            <w:t xml:space="preserve">第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hint="eastAsia" w:ascii="Times New Roman" w:hAnsi="Times New Roman" w:eastAsia="宋体" w:cs="Times New Roman"/>
                            </w:rPr>
                            <w:t>0</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CB77F7A">
                    <w:pPr>
                      <w:pStyle w:val="11"/>
                      <w:rPr>
                        <w:rFonts w:hint="eastAsia" w:ascii="Times New Roman" w:hAnsi="Times New Roman" w:eastAsia="宋体" w:cs="Times New Roman"/>
                      </w:rPr>
                    </w:pPr>
                    <w:r>
                      <w:rPr>
                        <w:rFonts w:hint="eastAsia" w:ascii="Times New Roman" w:hAnsi="Times New Roman" w:eastAsia="宋体" w:cs="Times New Roman"/>
                      </w:rPr>
                      <w:t xml:space="preserve">第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hint="eastAsia" w:ascii="Times New Roman" w:hAnsi="Times New Roman" w:eastAsia="宋体" w:cs="Times New Roman"/>
                      </w:rPr>
                      <w:t>0</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C3A2">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6A3B">
    <w:pPr>
      <w:widowControl w:val="0"/>
      <w:pBdr>
        <w:bottom w:val="single" w:color="auto" w:sz="6" w:space="1"/>
      </w:pBdr>
      <w:snapToGrid w:val="0"/>
      <w:jc w:val="right"/>
      <w:rPr>
        <w:rFonts w:hint="eastAsia" w:ascii="Times New Roman" w:hAnsi="Times New Roman"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F633">
    <w:pPr>
      <w:widowControl w:val="0"/>
      <w:pBdr>
        <w:bottom w:val="single" w:color="auto" w:sz="6" w:space="1"/>
      </w:pBdr>
      <w:snapToGrid w:val="0"/>
      <w:jc w:val="both"/>
      <w:rPr>
        <w:rFonts w:ascii="Times New Roman" w:hAnsi="Times New Roman" w:eastAsia="宋体" w:cs="Times New Roman"/>
        <w:kern w:val="0"/>
        <w:sz w:val="15"/>
        <w:szCs w:val="15"/>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B7FE">
    <w:pPr>
      <w:pStyle w:val="12"/>
      <w:jc w:val="both"/>
      <w:rPr>
        <w:rFonts w:ascii="Times New Roman" w:hAnsi="Times New Roman" w:eastAsia="宋体" w:cs="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tabs>
          <w:tab w:val="left" w:pos="0"/>
        </w:tabs>
        <w:ind w:left="510" w:hanging="510"/>
      </w:pPr>
      <w:rPr>
        <w:rFonts w:ascii="Times New Roman" w:hAnsi="Times New Roman" w:cs="Times New Roman"/>
        <w:spacing w:val="-20"/>
        <w:kern w:val="2"/>
        <w:position w:val="0"/>
        <w:sz w:val="21"/>
        <w:vertAlign w:val="baseline"/>
        <w:lang w:val="zh-C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97B857CA"/>
    <w:multiLevelType w:val="singleLevel"/>
    <w:tmpl w:val="97B857CA"/>
    <w:lvl w:ilvl="0" w:tentative="0">
      <w:start w:val="1"/>
      <w:numFmt w:val="decimal"/>
      <w:lvlText w:val="%1."/>
      <w:lvlJc w:val="left"/>
      <w:pPr>
        <w:tabs>
          <w:tab w:val="left" w:pos="312"/>
        </w:tabs>
      </w:pPr>
    </w:lvl>
  </w:abstractNum>
  <w:abstractNum w:abstractNumId="2">
    <w:nsid w:val="E504947C"/>
    <w:multiLevelType w:val="singleLevel"/>
    <w:tmpl w:val="E504947C"/>
    <w:lvl w:ilvl="0" w:tentative="0">
      <w:start w:val="1"/>
      <w:numFmt w:val="decimal"/>
      <w:suff w:val="nothing"/>
      <w:lvlText w:val="%1、"/>
      <w:lvlJc w:val="left"/>
      <w:pPr>
        <w:tabs>
          <w:tab w:val="left" w:pos="0"/>
        </w:tabs>
        <w:ind w:left="0" w:firstLine="0"/>
      </w:pPr>
    </w:lvl>
  </w:abstractNum>
  <w:abstractNum w:abstractNumId="3">
    <w:nsid w:val="F4615304"/>
    <w:multiLevelType w:val="multilevel"/>
    <w:tmpl w:val="F4615304"/>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4">
    <w:nsid w:val="F4F72E2C"/>
    <w:multiLevelType w:val="singleLevel"/>
    <w:tmpl w:val="F4F72E2C"/>
    <w:lvl w:ilvl="0" w:tentative="0">
      <w:start w:val="1"/>
      <w:numFmt w:val="chineseCounting"/>
      <w:suff w:val="nothing"/>
      <w:lvlText w:val="%1、"/>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7">
    <w:nsid w:val="00000021"/>
    <w:multiLevelType w:val="multilevel"/>
    <w:tmpl w:val="00000021"/>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8">
    <w:nsid w:val="00000025"/>
    <w:multiLevelType w:val="multilevel"/>
    <w:tmpl w:val="00000025"/>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
    <w:nsid w:val="00000027"/>
    <w:multiLevelType w:val="multilevel"/>
    <w:tmpl w:val="00000027"/>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C"/>
    <w:multiLevelType w:val="multilevel"/>
    <w:tmpl w:val="0000002C"/>
    <w:lvl w:ilvl="0" w:tentative="0">
      <w:start w:val="1"/>
      <w:numFmt w:val="bullet"/>
      <w:lvlText w:val=""/>
      <w:lvlJc w:val="left"/>
      <w:pPr>
        <w:ind w:left="1021" w:hanging="420"/>
      </w:pPr>
      <w:rPr>
        <w:rFonts w:hint="default" w:ascii="Wingdings" w:hAnsi="Wingdings"/>
      </w:rPr>
    </w:lvl>
    <w:lvl w:ilvl="1" w:tentative="0">
      <w:start w:val="1"/>
      <w:numFmt w:val="bullet"/>
      <w:lvlText w:val=""/>
      <w:lvlJc w:val="left"/>
      <w:pPr>
        <w:ind w:left="1441" w:hanging="420"/>
      </w:pPr>
      <w:rPr>
        <w:rFonts w:hint="default" w:ascii="Wingdings" w:hAnsi="Wingdings"/>
      </w:rPr>
    </w:lvl>
    <w:lvl w:ilvl="2" w:tentative="0">
      <w:start w:val="1"/>
      <w:numFmt w:val="bullet"/>
      <w:lvlText w:val=""/>
      <w:lvlJc w:val="left"/>
      <w:pPr>
        <w:ind w:left="1861" w:hanging="420"/>
      </w:pPr>
      <w:rPr>
        <w:rFonts w:hint="default" w:ascii="Wingdings" w:hAnsi="Wingdings"/>
      </w:rPr>
    </w:lvl>
    <w:lvl w:ilvl="3" w:tentative="0">
      <w:start w:val="1"/>
      <w:numFmt w:val="bullet"/>
      <w:lvlText w:val=""/>
      <w:lvlJc w:val="left"/>
      <w:pPr>
        <w:ind w:left="2281" w:hanging="420"/>
      </w:pPr>
      <w:rPr>
        <w:rFonts w:hint="default" w:ascii="Wingdings" w:hAnsi="Wingdings"/>
      </w:rPr>
    </w:lvl>
    <w:lvl w:ilvl="4" w:tentative="0">
      <w:start w:val="1"/>
      <w:numFmt w:val="bullet"/>
      <w:lvlText w:val=""/>
      <w:lvlJc w:val="left"/>
      <w:pPr>
        <w:ind w:left="2701" w:hanging="420"/>
      </w:pPr>
      <w:rPr>
        <w:rFonts w:hint="default" w:ascii="Wingdings" w:hAnsi="Wingdings"/>
      </w:rPr>
    </w:lvl>
    <w:lvl w:ilvl="5" w:tentative="0">
      <w:start w:val="1"/>
      <w:numFmt w:val="bullet"/>
      <w:lvlText w:val=""/>
      <w:lvlJc w:val="left"/>
      <w:pPr>
        <w:ind w:left="3121" w:hanging="420"/>
      </w:pPr>
      <w:rPr>
        <w:rFonts w:hint="default" w:ascii="Wingdings" w:hAnsi="Wingdings"/>
      </w:rPr>
    </w:lvl>
    <w:lvl w:ilvl="6" w:tentative="0">
      <w:start w:val="1"/>
      <w:numFmt w:val="bullet"/>
      <w:lvlText w:val=""/>
      <w:lvlJc w:val="left"/>
      <w:pPr>
        <w:ind w:left="3541" w:hanging="420"/>
      </w:pPr>
      <w:rPr>
        <w:rFonts w:hint="default" w:ascii="Wingdings" w:hAnsi="Wingdings"/>
      </w:rPr>
    </w:lvl>
    <w:lvl w:ilvl="7" w:tentative="0">
      <w:start w:val="1"/>
      <w:numFmt w:val="bullet"/>
      <w:lvlText w:val=""/>
      <w:lvlJc w:val="left"/>
      <w:pPr>
        <w:ind w:left="3961" w:hanging="420"/>
      </w:pPr>
      <w:rPr>
        <w:rFonts w:hint="default" w:ascii="Wingdings" w:hAnsi="Wingdings"/>
      </w:rPr>
    </w:lvl>
    <w:lvl w:ilvl="8" w:tentative="0">
      <w:start w:val="1"/>
      <w:numFmt w:val="bullet"/>
      <w:lvlText w:val=""/>
      <w:lvlJc w:val="left"/>
      <w:pPr>
        <w:ind w:left="4381" w:hanging="420"/>
      </w:pPr>
      <w:rPr>
        <w:rFonts w:hint="default" w:ascii="Wingdings" w:hAnsi="Wingdings"/>
      </w:rPr>
    </w:lvl>
  </w:abstractNum>
  <w:abstractNum w:abstractNumId="12">
    <w:nsid w:val="0000002D"/>
    <w:multiLevelType w:val="multilevel"/>
    <w:tmpl w:val="0000002D"/>
    <w:lvl w:ilvl="0" w:tentative="0">
      <w:start w:val="1"/>
      <w:numFmt w:val="decimal"/>
      <w:lvlText w:val="7.%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F"/>
    <w:multiLevelType w:val="multilevel"/>
    <w:tmpl w:val="0000002F"/>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2"/>
    <w:multiLevelType w:val="multilevel"/>
    <w:tmpl w:val="00000032"/>
    <w:lvl w:ilvl="0" w:tentative="0">
      <w:start w:val="1"/>
      <w:numFmt w:val="decimal"/>
      <w:lvlText w:val="6.%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3"/>
    <w:multiLevelType w:val="multilevel"/>
    <w:tmpl w:val="00000033"/>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6">
    <w:nsid w:val="04381119"/>
    <w:multiLevelType w:val="singleLevel"/>
    <w:tmpl w:val="04381119"/>
    <w:lvl w:ilvl="0" w:tentative="0">
      <w:start w:val="6"/>
      <w:numFmt w:val="decimal"/>
      <w:suff w:val="nothing"/>
      <w:lvlText w:val="%1、"/>
      <w:lvlJc w:val="left"/>
    </w:lvl>
  </w:abstractNum>
  <w:abstractNum w:abstractNumId="17">
    <w:nsid w:val="07AF6A6C"/>
    <w:multiLevelType w:val="multilevel"/>
    <w:tmpl w:val="07AF6A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9D3F67"/>
    <w:multiLevelType w:val="multilevel"/>
    <w:tmpl w:val="0E9D3F67"/>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9">
    <w:nsid w:val="0FA67827"/>
    <w:multiLevelType w:val="multilevel"/>
    <w:tmpl w:val="0FA67827"/>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0">
    <w:nsid w:val="180404F9"/>
    <w:multiLevelType w:val="multilevel"/>
    <w:tmpl w:val="180404F9"/>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1">
    <w:nsid w:val="1A672771"/>
    <w:multiLevelType w:val="multilevel"/>
    <w:tmpl w:val="1A672771"/>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2">
    <w:nsid w:val="1B112347"/>
    <w:multiLevelType w:val="multilevel"/>
    <w:tmpl w:val="1B112347"/>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B1368E8"/>
    <w:multiLevelType w:val="multilevel"/>
    <w:tmpl w:val="1B1368E8"/>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29866BD"/>
    <w:multiLevelType w:val="multilevel"/>
    <w:tmpl w:val="229866BD"/>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4202A42"/>
    <w:multiLevelType w:val="multilevel"/>
    <w:tmpl w:val="24202A42"/>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021112"/>
    <w:multiLevelType w:val="multilevel"/>
    <w:tmpl w:val="28021112"/>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0F43C53"/>
    <w:multiLevelType w:val="multilevel"/>
    <w:tmpl w:val="30F43C53"/>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8">
    <w:nsid w:val="349162B8"/>
    <w:multiLevelType w:val="multilevel"/>
    <w:tmpl w:val="349162B8"/>
    <w:lvl w:ilvl="0" w:tentative="0">
      <w:start w:val="1"/>
      <w:numFmt w:val="decimal"/>
      <w:lvlText w:val="5.%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BF7E9F"/>
    <w:multiLevelType w:val="singleLevel"/>
    <w:tmpl w:val="35BF7E9F"/>
    <w:lvl w:ilvl="0" w:tentative="0">
      <w:start w:val="1"/>
      <w:numFmt w:val="decimal"/>
      <w:lvlText w:val="%1."/>
      <w:lvlJc w:val="left"/>
      <w:pPr>
        <w:tabs>
          <w:tab w:val="left" w:pos="312"/>
        </w:tabs>
      </w:pPr>
    </w:lvl>
  </w:abstractNum>
  <w:abstractNum w:abstractNumId="30">
    <w:nsid w:val="35F94F35"/>
    <w:multiLevelType w:val="multilevel"/>
    <w:tmpl w:val="35F94F35"/>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C31357"/>
    <w:multiLevelType w:val="multilevel"/>
    <w:tmpl w:val="36C31357"/>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2">
    <w:nsid w:val="390D6FAD"/>
    <w:multiLevelType w:val="multilevel"/>
    <w:tmpl w:val="390D6FAD"/>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ABF734D"/>
    <w:multiLevelType w:val="multilevel"/>
    <w:tmpl w:val="3ABF734D"/>
    <w:lvl w:ilvl="0" w:tentative="0">
      <w:start w:val="1"/>
      <w:numFmt w:val="decimal"/>
      <w:lvlText w:val="%1."/>
      <w:lvlJc w:val="left"/>
      <w:pPr>
        <w:tabs>
          <w:tab w:val="left" w:pos="510"/>
        </w:tabs>
        <w:ind w:left="510" w:hanging="510"/>
      </w:pPr>
      <w:rPr>
        <w:rFonts w:hint="default" w:ascii="Times New Roman" w:hAnsi="Times New Roman" w:cs="Times New Roman"/>
        <w:b w:val="0"/>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944D48"/>
    <w:multiLevelType w:val="multilevel"/>
    <w:tmpl w:val="3B944D48"/>
    <w:lvl w:ilvl="0" w:tentative="0">
      <w:start w:val="1"/>
      <w:numFmt w:val="decimal"/>
      <w:lvlText w:val="2.%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japaneseCounting"/>
      <w:lvlText w:val="%4、"/>
      <w:lvlJc w:val="left"/>
      <w:pPr>
        <w:ind w:left="1680" w:hanging="420"/>
      </w:pPr>
      <w:rPr>
        <w:rFonts w:hint="default"/>
        <w:b w:val="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3BF72AF3"/>
    <w:multiLevelType w:val="multilevel"/>
    <w:tmpl w:val="3BF72AF3"/>
    <w:lvl w:ilvl="0" w:tentative="0">
      <w:start w:val="1"/>
      <w:numFmt w:val="decimal"/>
      <w:lvlText w:val="1.%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C222AF1"/>
    <w:multiLevelType w:val="multilevel"/>
    <w:tmpl w:val="3C222AF1"/>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7">
    <w:nsid w:val="3CB40234"/>
    <w:multiLevelType w:val="multilevel"/>
    <w:tmpl w:val="3CB40234"/>
    <w:lvl w:ilvl="0" w:tentative="0">
      <w:start w:val="1"/>
      <w:numFmt w:val="decimal"/>
      <w:lvlText w:val="%1."/>
      <w:lvlJc w:val="left"/>
      <w:pPr>
        <w:tabs>
          <w:tab w:val="left" w:pos="510"/>
        </w:tabs>
        <w:ind w:left="510" w:hanging="510"/>
      </w:pPr>
      <w:rPr>
        <w:rFonts w:hint="default" w:ascii="Times New Roman" w:hAnsi="Times New Roman" w:cs="Times New Roman"/>
        <w:b w:val="0"/>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A7B0622"/>
    <w:multiLevelType w:val="multilevel"/>
    <w:tmpl w:val="4A7B0622"/>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BF945CC"/>
    <w:multiLevelType w:val="multilevel"/>
    <w:tmpl w:val="4BF945CC"/>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DB1AD6"/>
    <w:multiLevelType w:val="multilevel"/>
    <w:tmpl w:val="50DB1AD6"/>
    <w:lvl w:ilvl="0" w:tentative="0">
      <w:start w:val="1"/>
      <w:numFmt w:val="decimal"/>
      <w:lvlText w:val="4.%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6315290"/>
    <w:multiLevelType w:val="multilevel"/>
    <w:tmpl w:val="56315290"/>
    <w:lvl w:ilvl="0" w:tentative="0">
      <w:start w:val="1"/>
      <w:numFmt w:val="decimal"/>
      <w:lvlText w:val="7.%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5653D0AF"/>
    <w:multiLevelType w:val="singleLevel"/>
    <w:tmpl w:val="5653D0AF"/>
    <w:lvl w:ilvl="0" w:tentative="0">
      <w:start w:val="1"/>
      <w:numFmt w:val="decimal"/>
      <w:lvlText w:val="%1."/>
      <w:lvlJc w:val="left"/>
      <w:pPr>
        <w:tabs>
          <w:tab w:val="left" w:pos="312"/>
        </w:tabs>
      </w:pPr>
    </w:lvl>
  </w:abstractNum>
  <w:abstractNum w:abstractNumId="43">
    <w:nsid w:val="576F76A1"/>
    <w:multiLevelType w:val="multilevel"/>
    <w:tmpl w:val="576F76A1"/>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9B7158E"/>
    <w:multiLevelType w:val="multilevel"/>
    <w:tmpl w:val="59B7158E"/>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D59774D"/>
    <w:multiLevelType w:val="multilevel"/>
    <w:tmpl w:val="5D59774D"/>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46">
    <w:nsid w:val="5F9D4459"/>
    <w:multiLevelType w:val="multilevel"/>
    <w:tmpl w:val="5F9D4459"/>
    <w:lvl w:ilvl="0" w:tentative="0">
      <w:start w:val="1"/>
      <w:numFmt w:val="decimal"/>
      <w:lvlText w:val="3.%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67B7A9B"/>
    <w:multiLevelType w:val="multilevel"/>
    <w:tmpl w:val="667B7A9B"/>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0E758C"/>
    <w:multiLevelType w:val="multilevel"/>
    <w:tmpl w:val="6A0E758C"/>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BFE3129"/>
    <w:multiLevelType w:val="multilevel"/>
    <w:tmpl w:val="6BFE3129"/>
    <w:lvl w:ilvl="0" w:tentative="0">
      <w:start w:val="1"/>
      <w:numFmt w:val="decimal"/>
      <w:lvlText w:val="1.%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eastAsia"/>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00FDCEF"/>
    <w:multiLevelType w:val="multilevel"/>
    <w:tmpl w:val="700FDCEF"/>
    <w:lvl w:ilvl="0" w:tentative="0">
      <w:start w:val="1"/>
      <w:numFmt w:val="decimal"/>
      <w:lvlText w:val="%1"/>
      <w:lvlJc w:val="center"/>
      <w:pPr>
        <w:tabs>
          <w:tab w:val="left" w:pos="0"/>
        </w:tabs>
        <w:ind w:left="142" w:firstLine="38"/>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1">
    <w:nsid w:val="731D60BD"/>
    <w:multiLevelType w:val="multilevel"/>
    <w:tmpl w:val="731D60BD"/>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6BC6295"/>
    <w:multiLevelType w:val="multilevel"/>
    <w:tmpl w:val="76BC6295"/>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53">
    <w:nsid w:val="772338C3"/>
    <w:multiLevelType w:val="multilevel"/>
    <w:tmpl w:val="772338C3"/>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BEF43B4"/>
    <w:multiLevelType w:val="multilevel"/>
    <w:tmpl w:val="7BEF43B4"/>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E7C3613"/>
    <w:multiLevelType w:val="multilevel"/>
    <w:tmpl w:val="7E7C3613"/>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4"/>
  </w:num>
  <w:num w:numId="2">
    <w:abstractNumId w:val="16"/>
  </w:num>
  <w:num w:numId="3">
    <w:abstractNumId w:val="29"/>
  </w:num>
  <w:num w:numId="4">
    <w:abstractNumId w:val="49"/>
  </w:num>
  <w:num w:numId="5">
    <w:abstractNumId w:val="33"/>
  </w:num>
  <w:num w:numId="6">
    <w:abstractNumId w:val="27"/>
  </w:num>
  <w:num w:numId="7">
    <w:abstractNumId w:val="37"/>
  </w:num>
  <w:num w:numId="8">
    <w:abstractNumId w:val="34"/>
  </w:num>
  <w:num w:numId="9">
    <w:abstractNumId w:val="46"/>
  </w:num>
  <w:num w:numId="10">
    <w:abstractNumId w:val="26"/>
  </w:num>
  <w:num w:numId="11">
    <w:abstractNumId w:val="44"/>
  </w:num>
  <w:num w:numId="12">
    <w:abstractNumId w:val="25"/>
  </w:num>
  <w:num w:numId="13">
    <w:abstractNumId w:val="22"/>
  </w:num>
  <w:num w:numId="14">
    <w:abstractNumId w:val="21"/>
  </w:num>
  <w:num w:numId="15">
    <w:abstractNumId w:val="19"/>
  </w:num>
  <w:num w:numId="16">
    <w:abstractNumId w:val="52"/>
  </w:num>
  <w:num w:numId="17">
    <w:abstractNumId w:val="20"/>
  </w:num>
  <w:num w:numId="18">
    <w:abstractNumId w:val="47"/>
  </w:num>
  <w:num w:numId="19">
    <w:abstractNumId w:val="54"/>
  </w:num>
  <w:num w:numId="20">
    <w:abstractNumId w:val="40"/>
  </w:num>
  <w:num w:numId="21">
    <w:abstractNumId w:val="38"/>
  </w:num>
  <w:num w:numId="22">
    <w:abstractNumId w:val="30"/>
  </w:num>
  <w:num w:numId="23">
    <w:abstractNumId w:val="28"/>
  </w:num>
  <w:num w:numId="24">
    <w:abstractNumId w:val="53"/>
  </w:num>
  <w:num w:numId="25">
    <w:abstractNumId w:val="48"/>
  </w:num>
  <w:num w:numId="26">
    <w:abstractNumId w:val="43"/>
  </w:num>
  <w:num w:numId="27">
    <w:abstractNumId w:val="7"/>
  </w:num>
  <w:num w:numId="28">
    <w:abstractNumId w:val="45"/>
  </w:num>
  <w:num w:numId="29">
    <w:abstractNumId w:val="10"/>
  </w:num>
  <w:num w:numId="30">
    <w:abstractNumId w:val="31"/>
  </w:num>
  <w:num w:numId="31">
    <w:abstractNumId w:val="55"/>
  </w:num>
  <w:num w:numId="32">
    <w:abstractNumId w:val="18"/>
  </w:num>
  <w:num w:numId="33">
    <w:abstractNumId w:val="3"/>
  </w:num>
  <w:num w:numId="34">
    <w:abstractNumId w:val="6"/>
  </w:num>
  <w:num w:numId="35">
    <w:abstractNumId w:val="23"/>
  </w:num>
  <w:num w:numId="36">
    <w:abstractNumId w:val="39"/>
  </w:num>
  <w:num w:numId="37">
    <w:abstractNumId w:val="0"/>
  </w:num>
  <w:num w:numId="38">
    <w:abstractNumId w:val="51"/>
  </w:num>
  <w:num w:numId="39">
    <w:abstractNumId w:val="36"/>
  </w:num>
  <w:num w:numId="40">
    <w:abstractNumId w:val="35"/>
  </w:num>
  <w:num w:numId="41">
    <w:abstractNumId w:val="14"/>
  </w:num>
  <w:num w:numId="42">
    <w:abstractNumId w:val="11"/>
  </w:num>
  <w:num w:numId="43">
    <w:abstractNumId w:val="13"/>
  </w:num>
  <w:num w:numId="44">
    <w:abstractNumId w:val="42"/>
  </w:num>
  <w:num w:numId="45">
    <w:abstractNumId w:val="41"/>
  </w:num>
  <w:num w:numId="46">
    <w:abstractNumId w:val="24"/>
  </w:num>
  <w:num w:numId="47">
    <w:abstractNumId w:val="8"/>
  </w:num>
  <w:num w:numId="48">
    <w:abstractNumId w:val="32"/>
  </w:num>
  <w:num w:numId="49">
    <w:abstractNumId w:val="12"/>
  </w:num>
  <w:num w:numId="50">
    <w:abstractNumId w:val="5"/>
  </w:num>
  <w:num w:numId="51">
    <w:abstractNumId w:val="17"/>
  </w:num>
  <w:num w:numId="52">
    <w:abstractNumId w:val="1"/>
  </w:num>
  <w:num w:numId="53">
    <w:abstractNumId w:val="9"/>
  </w:num>
  <w:num w:numId="54">
    <w:abstractNumId w:val="15"/>
  </w:num>
  <w:num w:numId="55">
    <w:abstractNumId w:val="50"/>
  </w:num>
  <w:num w:numId="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g1MmQ3NGVlMWI1NWM5YzU1MGQ0NGYwMDA4YzcifQ=="/>
  </w:docVars>
  <w:rsids>
    <w:rsidRoot w:val="11B25650"/>
    <w:rsid w:val="001153EC"/>
    <w:rsid w:val="0A030F77"/>
    <w:rsid w:val="0CCA6F32"/>
    <w:rsid w:val="0EDA1403"/>
    <w:rsid w:val="11B25650"/>
    <w:rsid w:val="2D4F74A7"/>
    <w:rsid w:val="3DEB415C"/>
    <w:rsid w:val="7A44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next w:val="1"/>
    <w:qFormat/>
    <w:uiPriority w:val="9"/>
    <w:pPr>
      <w:keepNext/>
      <w:keepLines/>
      <w:widowControl w:val="0"/>
      <w:jc w:val="both"/>
      <w:outlineLvl w:val="0"/>
    </w:pPr>
    <w:rPr>
      <w:rFonts w:ascii="Times New Roman" w:hAnsi="Times New Roman" w:eastAsia="宋体" w:cs="Times New Roman"/>
      <w:b/>
      <w:bCs/>
      <w:kern w:val="44"/>
      <w:sz w:val="52"/>
      <w:szCs w:val="44"/>
      <w:lang w:val="en-US" w:eastAsia="zh-CN" w:bidi="ar-SA"/>
    </w:rPr>
  </w:style>
  <w:style w:type="paragraph" w:styleId="3">
    <w:name w:val="heading 2"/>
    <w:next w:val="1"/>
    <w:qFormat/>
    <w:uiPriority w:val="9"/>
    <w:pPr>
      <w:keepNext/>
      <w:keepLines/>
      <w:widowControl w:val="0"/>
      <w:jc w:val="both"/>
      <w:outlineLvl w:val="1"/>
    </w:pPr>
    <w:rPr>
      <w:rFonts w:ascii="Cambria" w:hAnsi="Cambria" w:eastAsia="宋体" w:cs="Times New Roman"/>
      <w:b/>
      <w:bCs/>
      <w:kern w:val="2"/>
      <w:sz w:val="32"/>
      <w:szCs w:val="32"/>
      <w:lang w:val="en-US" w:eastAsia="zh-CN" w:bidi="ar-SA"/>
    </w:rPr>
  </w:style>
  <w:style w:type="paragraph" w:styleId="4">
    <w:name w:val="heading 3"/>
    <w:next w:val="5"/>
    <w:qFormat/>
    <w:uiPriority w:val="0"/>
    <w:pPr>
      <w:keepNext/>
      <w:keepLines/>
      <w:widowControl w:val="0"/>
      <w:spacing w:line="360" w:lineRule="auto"/>
      <w:jc w:val="both"/>
      <w:outlineLvl w:val="2"/>
    </w:pPr>
    <w:rPr>
      <w:rFonts w:ascii="Times New Roman" w:hAnsi="Times New Roman" w:eastAsia="宋体" w:cs="Times New Roman"/>
      <w:b/>
      <w:bCs/>
      <w:kern w:val="2"/>
      <w:sz w:val="21"/>
      <w:szCs w:val="32"/>
      <w:lang w:val="en-US" w:eastAsia="zh-CN" w:bidi="ar-SA"/>
    </w:rPr>
  </w:style>
  <w:style w:type="paragraph" w:styleId="6">
    <w:name w:val="heading 4"/>
    <w:next w:val="1"/>
    <w:qFormat/>
    <w:uiPriority w:val="9"/>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5">
    <w:name w:val="正文_1_0"/>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next w:val="1"/>
    <w:qFormat/>
    <w:uiPriority w:val="0"/>
    <w:pPr>
      <w:widowControl w:val="0"/>
      <w:spacing w:line="360" w:lineRule="auto"/>
      <w:ind w:firstLine="200" w:firstLineChars="200"/>
      <w:jc w:val="both"/>
    </w:pPr>
    <w:rPr>
      <w:rFonts w:ascii="Times New Roman" w:hAnsi="Times New Roman" w:eastAsia="宋体" w:cs="Times New Roman"/>
      <w:kern w:val="2"/>
      <w:sz w:val="24"/>
      <w:szCs w:val="20"/>
      <w:lang w:val="en-US" w:eastAsia="zh-CN" w:bidi="ar-SA"/>
    </w:rPr>
  </w:style>
  <w:style w:type="paragraph" w:styleId="8">
    <w:name w:val="caption"/>
    <w:next w:val="1"/>
    <w:qFormat/>
    <w:uiPriority w:val="0"/>
    <w:pPr>
      <w:widowControl w:val="0"/>
      <w:jc w:val="both"/>
    </w:pPr>
    <w:rPr>
      <w:rFonts w:ascii="Cambria" w:hAnsi="Cambria" w:eastAsia="黑体" w:cs="Times New Roman"/>
      <w:kern w:val="2"/>
      <w:sz w:val="20"/>
      <w:szCs w:val="20"/>
      <w:lang w:val="en-US" w:eastAsia="zh-CN" w:bidi="ar-SA"/>
    </w:rPr>
  </w:style>
  <w:style w:type="paragraph" w:styleId="9">
    <w:name w:val="Body Text"/>
    <w:next w:val="1"/>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10">
    <w:name w:val="endnote text"/>
    <w:unhideWhenUsed/>
    <w:qFormat/>
    <w:uiPriority w:val="0"/>
    <w:pPr>
      <w:widowControl w:val="0"/>
      <w:snapToGrid w:val="0"/>
      <w:jc w:val="left"/>
    </w:pPr>
    <w:rPr>
      <w:rFonts w:ascii="宋体" w:hAnsi="宋体" w:eastAsia="宋体" w:cs="Times New Roman"/>
      <w:kern w:val="0"/>
      <w:sz w:val="28"/>
      <w:szCs w:val="22"/>
      <w:lang w:val="en-US" w:eastAsia="zh-CN" w:bidi="ar-SA"/>
    </w:rPr>
  </w:style>
  <w:style w:type="paragraph" w:styleId="11">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12">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13">
    <w:name w:val="Normal (Web)"/>
    <w:qFormat/>
    <w:uiPriority w:val="0"/>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14">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7">
    <w:name w:val="Strong"/>
    <w:qFormat/>
    <w:uiPriority w:val="22"/>
    <w:rPr>
      <w:rFonts w:ascii="Tahoma" w:hAnsi="Tahoma" w:eastAsia="宋体"/>
      <w:b/>
      <w:bCs/>
      <w:spacing w:val="10"/>
      <w:sz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普通(网站)1"/>
    <w:qFormat/>
    <w:uiPriority w:val="0"/>
    <w:pPr>
      <w:widowControl/>
      <w:spacing w:before="100" w:after="100"/>
      <w:jc w:val="left"/>
    </w:pPr>
    <w:rPr>
      <w:rFonts w:ascii="宋体" w:hAnsi="宋体" w:eastAsia="宋体" w:cs="宋体"/>
      <w:color w:val="000000"/>
      <w:kern w:val="0"/>
      <w:sz w:val="24"/>
      <w:szCs w:val="24"/>
      <w:lang w:val="en-US" w:eastAsia="zh-CN" w:bidi="ar-SA"/>
    </w:rPr>
  </w:style>
  <w:style w:type="paragraph" w:customStyle="1" w:styleId="20">
    <w:name w:val="样式4"/>
    <w:qFormat/>
    <w:uiPriority w:val="0"/>
    <w:pPr>
      <w:widowControl w:val="0"/>
      <w:tabs>
        <w:tab w:val="left" w:pos="2328"/>
      </w:tabs>
      <w:ind w:left="2328" w:hanging="708"/>
      <w:jc w:val="both"/>
    </w:pPr>
    <w:rPr>
      <w:rFonts w:ascii="Times New Roman" w:hAnsi="Times New Roman" w:eastAsia="宋体" w:cs="Times New Roman"/>
      <w:kern w:val="2"/>
      <w:sz w:val="24"/>
      <w:szCs w:val="22"/>
      <w:lang w:val="en-US" w:eastAsia="zh-CN" w:bidi="ar-SA"/>
    </w:rPr>
  </w:style>
  <w:style w:type="paragraph" w:customStyle="1" w:styleId="21">
    <w:name w:val="文本块1"/>
    <w:qFormat/>
    <w:uiPriority w:val="0"/>
    <w:pPr>
      <w:widowControl w:val="0"/>
      <w:ind w:left="1440" w:leftChars="700" w:right="1440" w:rightChars="700"/>
      <w:jc w:val="both"/>
    </w:pPr>
    <w:rPr>
      <w:rFonts w:ascii="Times New Roman" w:hAnsi="Times New Roman" w:eastAsia="宋体" w:cs="Times New Roman"/>
      <w:kern w:val="2"/>
      <w:sz w:val="24"/>
      <w:szCs w:val="22"/>
      <w:lang w:val="en-US" w:eastAsia="zh-CN" w:bidi="ar-SA"/>
    </w:rPr>
  </w:style>
  <w:style w:type="paragraph" w:customStyle="1" w:styleId="22">
    <w:name w:val="表格文字"/>
    <w:next w:val="9"/>
    <w:qFormat/>
    <w:uiPriority w:val="0"/>
    <w:pPr>
      <w:widowControl w:val="0"/>
      <w:spacing w:before="25" w:after="25"/>
      <w:jc w:val="left"/>
    </w:pPr>
    <w:rPr>
      <w:rFonts w:ascii="Times New Roman" w:hAnsi="Times New Roman" w:eastAsia="宋体" w:cs="Times New Roman"/>
      <w:bCs/>
      <w:spacing w:val="10"/>
      <w:kern w:val="0"/>
      <w:sz w:val="24"/>
      <w:szCs w:val="20"/>
      <w:lang w:val="en-US" w:eastAsia="zh-CN" w:bidi="ar-SA"/>
    </w:rPr>
  </w:style>
  <w:style w:type="paragraph" w:customStyle="1" w:styleId="23">
    <w:name w:val="列出段落"/>
    <w:qFormat/>
    <w:uiPriority w:val="0"/>
    <w:pPr>
      <w:widowControl w:val="0"/>
      <w:ind w:firstLine="420" w:firstLineChars="200"/>
      <w:jc w:val="both"/>
    </w:pPr>
    <w:rPr>
      <w:rFonts w:ascii="Times New Roman" w:hAnsi="Times New Roman" w:eastAsia="宋体" w:cs="Times New Roman"/>
      <w:kern w:val="2"/>
      <w:sz w:val="24"/>
      <w:szCs w:val="22"/>
      <w:lang w:val="en-US" w:eastAsia="zh-CN" w:bidi="ar-SA"/>
    </w:rPr>
  </w:style>
  <w:style w:type="paragraph" w:customStyle="1" w:styleId="24">
    <w:name w:val="正文_0_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5">
    <w:name w:val="题注4"/>
    <w:next w:val="8"/>
    <w:qFormat/>
    <w:uiPriority w:val="99"/>
    <w:pPr>
      <w:widowControl w:val="0"/>
      <w:ind w:left="-40" w:leftChars="-41" w:right="-107" w:rightChars="-51" w:hanging="46"/>
      <w:jc w:val="center"/>
    </w:pPr>
    <w:rPr>
      <w:rFonts w:ascii="Times New Roman" w:hAnsi="Times New Roman" w:eastAsia="宋体" w:cs="Times New Roman"/>
      <w:b/>
      <w:color w:val="000000"/>
      <w:kern w:val="2"/>
      <w:sz w:val="18"/>
      <w:szCs w:val="21"/>
      <w:lang w:val="en-GB" w:eastAsia="zh-CN" w:bidi="ar-SA"/>
    </w:rPr>
  </w:style>
  <w:style w:type="paragraph" w:customStyle="1" w:styleId="26">
    <w:name w:val="正文 首行缩进"/>
    <w:qFormat/>
    <w:uiPriority w:val="0"/>
    <w:pPr>
      <w:widowControl w:val="0"/>
      <w:adjustRightInd w:val="0"/>
      <w:ind w:firstLine="437"/>
      <w:jc w:val="left"/>
    </w:pPr>
    <w:rPr>
      <w:rFonts w:hint="eastAsia" w:ascii="宋体" w:hAnsi="宋体" w:eastAsia="宋体" w:cs="Times New Roman"/>
      <w:kern w:val="0"/>
      <w:sz w:val="24"/>
      <w:szCs w:val="21"/>
      <w:lang w:val="en-US" w:eastAsia="zh-CN" w:bidi="ar-SA"/>
    </w:rPr>
  </w:style>
  <w:style w:type="paragraph" w:customStyle="1" w:styleId="27">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pacing w:val="20"/>
      <w:kern w:val="0"/>
      <w:sz w:val="24"/>
      <w:szCs w:val="20"/>
      <w:lang w:val="en-US" w:eastAsia="zh-CN" w:bidi="ar-SA"/>
    </w:rPr>
  </w:style>
  <w:style w:type="paragraph" w:customStyle="1" w:styleId="28">
    <w:name w:val="Normal_19_1"/>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44522</Words>
  <Characters>46184</Characters>
  <Lines>0</Lines>
  <Paragraphs>0</Paragraphs>
  <TotalTime>17</TotalTime>
  <ScaleCrop>false</ScaleCrop>
  <LinksUpToDate>false</LinksUpToDate>
  <CharactersWithSpaces>48716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2024-06-03T02:12:00Z</dcterms:created>
  <dc:creator>NTKO</dc:creator>
  <cp:lastModifiedBy>NTKO</cp:lastModifiedBy>
  <dcterms:modified xsi:type="dcterms:W3CDTF">2024-06-05T09:05:36Z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CD7825305A634BB89B2E42AD81744571_13</vt:lpwstr>
  </property>
</Properties>
</file>